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7E" w:rsidRDefault="00FC6402" w:rsidP="00661B50">
      <w:pPr>
        <w:pStyle w:val="NoSpacing"/>
        <w:jc w:val="center"/>
        <w:rPr>
          <w:rFonts w:ascii="Harrington" w:hAnsi="Harrington"/>
          <w:sz w:val="24"/>
          <w:szCs w:val="24"/>
        </w:rPr>
      </w:pPr>
      <w:r>
        <w:rPr>
          <w:noProof/>
        </w:rPr>
        <mc:AlternateContent>
          <mc:Choice Requires="wps">
            <w:drawing>
              <wp:anchor distT="0" distB="0" distL="114300" distR="114300" simplePos="0" relativeHeight="251655680" behindDoc="0" locked="0" layoutInCell="1" allowOverlap="1" wp14:anchorId="7E2948B1" wp14:editId="10D6BA6B">
                <wp:simplePos x="0" y="0"/>
                <wp:positionH relativeFrom="column">
                  <wp:posOffset>9525</wp:posOffset>
                </wp:positionH>
                <wp:positionV relativeFrom="paragraph">
                  <wp:posOffset>-174626</wp:posOffset>
                </wp:positionV>
                <wp:extent cx="5734050" cy="865822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658225"/>
                        </a:xfrm>
                        <a:prstGeom prst="rect">
                          <a:avLst/>
                        </a:prstGeom>
                        <a:solidFill>
                          <a:srgbClr val="FFFFFF"/>
                        </a:solidFill>
                        <a:ln w="9525">
                          <a:solidFill>
                            <a:srgbClr val="000000"/>
                          </a:solidFill>
                          <a:miter lim="800000"/>
                          <a:headEnd/>
                          <a:tailEnd/>
                        </a:ln>
                      </wps:spPr>
                      <wps:txbx>
                        <w:txbxContent>
                          <w:p w:rsidR="00AF4869" w:rsidRPr="00B47879" w:rsidRDefault="00B81DC3" w:rsidP="000F02D3">
                            <w:pPr>
                              <w:rPr>
                                <w:rFonts w:cs="Calibri"/>
                                <w:sz w:val="21"/>
                                <w:szCs w:val="21"/>
                              </w:rPr>
                            </w:pPr>
                            <w:r>
                              <w:rPr>
                                <w:b/>
                                <w:i/>
                                <w:sz w:val="32"/>
                                <w:szCs w:val="32"/>
                                <w:u w:val="single"/>
                              </w:rPr>
                              <w:t>Vial2Bag Drug Connector System</w:t>
                            </w:r>
                            <w:r w:rsidR="001773A3">
                              <w:rPr>
                                <w:b/>
                                <w:i/>
                                <w:sz w:val="32"/>
                                <w:szCs w:val="32"/>
                                <w:u w:val="single"/>
                              </w:rPr>
                              <w:t>:</w:t>
                            </w:r>
                            <w:r w:rsidR="001773A3" w:rsidRPr="00026BC9">
                              <w:rPr>
                                <w:sz w:val="32"/>
                                <w:szCs w:val="32"/>
                              </w:rPr>
                              <w:t xml:space="preserve"> </w:t>
                            </w:r>
                            <w:r w:rsidR="00D456BC">
                              <w:rPr>
                                <w:sz w:val="32"/>
                                <w:szCs w:val="32"/>
                              </w:rPr>
                              <w:t xml:space="preserve"> </w:t>
                            </w:r>
                            <w:r w:rsidR="007511F1" w:rsidRPr="00B47879">
                              <w:rPr>
                                <w:rFonts w:cs="Calibri"/>
                                <w:sz w:val="21"/>
                                <w:szCs w:val="21"/>
                              </w:rPr>
                              <w:t>Maui Health systems (Maui, Kula and Lanai)</w:t>
                            </w:r>
                            <w:r w:rsidR="000200A0" w:rsidRPr="00B47879">
                              <w:rPr>
                                <w:rFonts w:cs="Calibri"/>
                                <w:sz w:val="21"/>
                                <w:szCs w:val="21"/>
                              </w:rPr>
                              <w:t xml:space="preserve"> is converting </w:t>
                            </w:r>
                            <w:r w:rsidR="00D456BC" w:rsidRPr="00B47879">
                              <w:rPr>
                                <w:rFonts w:cs="Calibri"/>
                                <w:sz w:val="21"/>
                                <w:szCs w:val="21"/>
                              </w:rPr>
                              <w:t xml:space="preserve">to a new drug connector system </w:t>
                            </w:r>
                            <w:r w:rsidR="000200A0" w:rsidRPr="00B47879">
                              <w:rPr>
                                <w:rFonts w:cs="Calibri"/>
                                <w:sz w:val="21"/>
                                <w:szCs w:val="21"/>
                              </w:rPr>
                              <w:t xml:space="preserve">called </w:t>
                            </w:r>
                            <w:r w:rsidR="000200A0" w:rsidRPr="00B47879">
                              <w:rPr>
                                <w:rFonts w:cs="Calibri"/>
                                <w:i/>
                                <w:sz w:val="21"/>
                                <w:szCs w:val="21"/>
                              </w:rPr>
                              <w:t>Vial2Bag</w:t>
                            </w:r>
                            <w:r w:rsidR="005B0CEF" w:rsidRPr="00B47879">
                              <w:rPr>
                                <w:rFonts w:cs="Calibri"/>
                                <w:i/>
                                <w:sz w:val="21"/>
                                <w:szCs w:val="21"/>
                              </w:rPr>
                              <w:t xml:space="preserve"> ™</w:t>
                            </w:r>
                            <w:r w:rsidR="00D456BC" w:rsidRPr="00B47879">
                              <w:rPr>
                                <w:rFonts w:cs="Calibri"/>
                                <w:i/>
                                <w:sz w:val="21"/>
                                <w:szCs w:val="21"/>
                              </w:rPr>
                              <w:t>.</w:t>
                            </w:r>
                            <w:r w:rsidR="00D456BC" w:rsidRPr="00B47879">
                              <w:rPr>
                                <w:rFonts w:cs="Calibri"/>
                                <w:sz w:val="21"/>
                                <w:szCs w:val="21"/>
                              </w:rPr>
                              <w:t xml:space="preserve"> The target date for conversion will take place on</w:t>
                            </w:r>
                            <w:r w:rsidR="003F26DF">
                              <w:rPr>
                                <w:rFonts w:cs="Calibri"/>
                                <w:sz w:val="21"/>
                                <w:szCs w:val="21"/>
                              </w:rPr>
                              <w:t xml:space="preserve"> Tuesday</w:t>
                            </w:r>
                            <w:r w:rsidR="00D456BC" w:rsidRPr="00B47879">
                              <w:rPr>
                                <w:rFonts w:cs="Calibri"/>
                                <w:sz w:val="21"/>
                                <w:szCs w:val="21"/>
                              </w:rPr>
                              <w:t xml:space="preserve"> </w:t>
                            </w:r>
                            <w:r w:rsidR="00D456BC" w:rsidRPr="00B47879">
                              <w:rPr>
                                <w:rFonts w:cs="Calibri"/>
                                <w:b/>
                                <w:sz w:val="21"/>
                                <w:szCs w:val="21"/>
                              </w:rPr>
                              <w:t>January 23</w:t>
                            </w:r>
                            <w:r w:rsidR="00D456BC" w:rsidRPr="00B47879">
                              <w:rPr>
                                <w:rFonts w:cs="Calibri"/>
                                <w:b/>
                                <w:sz w:val="21"/>
                                <w:szCs w:val="21"/>
                                <w:vertAlign w:val="superscript"/>
                              </w:rPr>
                              <w:t>rd</w:t>
                            </w:r>
                            <w:r w:rsidR="00D456BC" w:rsidRPr="00B47879">
                              <w:rPr>
                                <w:rFonts w:cs="Calibri"/>
                                <w:b/>
                                <w:sz w:val="21"/>
                                <w:szCs w:val="21"/>
                              </w:rPr>
                              <w:t>, 2018</w:t>
                            </w:r>
                            <w:r w:rsidR="00D456BC" w:rsidRPr="00B47879">
                              <w:rPr>
                                <w:rFonts w:cs="Calibri"/>
                                <w:sz w:val="21"/>
                                <w:szCs w:val="21"/>
                              </w:rPr>
                              <w:t>.</w:t>
                            </w:r>
                            <w:r w:rsidR="00D456BC" w:rsidRPr="00B47879">
                              <w:rPr>
                                <w:rFonts w:cs="Calibri"/>
                                <w:i/>
                                <w:sz w:val="21"/>
                                <w:szCs w:val="21"/>
                              </w:rPr>
                              <w:t xml:space="preserve"> </w:t>
                            </w:r>
                            <w:r w:rsidR="00D456BC" w:rsidRPr="00B47879">
                              <w:rPr>
                                <w:rFonts w:cs="Calibri"/>
                                <w:sz w:val="21"/>
                                <w:szCs w:val="21"/>
                              </w:rPr>
                              <w:t>This new system will replace</w:t>
                            </w:r>
                            <w:r w:rsidR="004D4F87" w:rsidRPr="00B47879">
                              <w:rPr>
                                <w:rFonts w:cs="Calibri"/>
                                <w:sz w:val="21"/>
                                <w:szCs w:val="21"/>
                              </w:rPr>
                              <w:t xml:space="preserve"> the</w:t>
                            </w:r>
                            <w:r w:rsidR="005B0CEF" w:rsidRPr="00B47879">
                              <w:rPr>
                                <w:rFonts w:cs="Calibri"/>
                                <w:sz w:val="21"/>
                                <w:szCs w:val="21"/>
                              </w:rPr>
                              <w:t xml:space="preserve"> previous “Add-Ease” Binary Connector system.</w:t>
                            </w:r>
                            <w:r w:rsidR="000200A0" w:rsidRPr="00B47879">
                              <w:rPr>
                                <w:rFonts w:cs="Calibri"/>
                                <w:i/>
                                <w:sz w:val="21"/>
                                <w:szCs w:val="21"/>
                              </w:rPr>
                              <w:t xml:space="preserve"> </w:t>
                            </w:r>
                            <w:r w:rsidR="005B0CEF" w:rsidRPr="00B47879">
                              <w:rPr>
                                <w:rFonts w:cs="Calibri"/>
                                <w:i/>
                                <w:sz w:val="21"/>
                                <w:szCs w:val="21"/>
                              </w:rPr>
                              <w:t xml:space="preserve">Vial2Bag ™ </w:t>
                            </w:r>
                            <w:r w:rsidR="00D456BC" w:rsidRPr="00B47879">
                              <w:rPr>
                                <w:rFonts w:cs="Calibri"/>
                                <w:sz w:val="21"/>
                                <w:szCs w:val="21"/>
                              </w:rPr>
                              <w:t>can be used with any brand of intravenous</w:t>
                            </w:r>
                            <w:r w:rsidR="005B0CEF" w:rsidRPr="00B47879">
                              <w:rPr>
                                <w:rFonts w:cs="Calibri"/>
                                <w:sz w:val="21"/>
                                <w:szCs w:val="21"/>
                              </w:rPr>
                              <w:t xml:space="preserve"> </w:t>
                            </w:r>
                            <w:r w:rsidR="00D456BC" w:rsidRPr="00B47879">
                              <w:rPr>
                                <w:rFonts w:cs="Calibri"/>
                                <w:sz w:val="21"/>
                                <w:szCs w:val="21"/>
                              </w:rPr>
                              <w:t>fluid (e.g. Baxter, Braun, Hospira) which gives this connector system a large advantage over “Add-Ease” which needs to be used with B. Braun fluids. This is important since IV fluids are on national shortage and we are using flui</w:t>
                            </w:r>
                            <w:r w:rsidR="004D4F87" w:rsidRPr="00B47879">
                              <w:rPr>
                                <w:rFonts w:cs="Calibri"/>
                                <w:sz w:val="21"/>
                                <w:szCs w:val="21"/>
                              </w:rPr>
                              <w:t>ds from different manufacturers currently.</w:t>
                            </w:r>
                            <w:r w:rsidR="00387DE0" w:rsidRPr="00B47879">
                              <w:rPr>
                                <w:rFonts w:cs="Calibri"/>
                                <w:sz w:val="21"/>
                                <w:szCs w:val="21"/>
                              </w:rPr>
                              <w:t xml:space="preserve"> The </w:t>
                            </w:r>
                            <w:r w:rsidR="00387DE0" w:rsidRPr="00B47879">
                              <w:rPr>
                                <w:rFonts w:cs="Calibri"/>
                                <w:i/>
                                <w:sz w:val="21"/>
                                <w:szCs w:val="21"/>
                              </w:rPr>
                              <w:t>Vial2Bag ™</w:t>
                            </w:r>
                            <w:r w:rsidR="009C367D" w:rsidRPr="00B47879">
                              <w:rPr>
                                <w:rFonts w:cs="Calibri"/>
                                <w:sz w:val="21"/>
                                <w:szCs w:val="21"/>
                              </w:rPr>
                              <w:t xml:space="preserve"> system consists of either</w:t>
                            </w:r>
                            <w:r w:rsidR="00387DE0" w:rsidRPr="00B47879">
                              <w:rPr>
                                <w:rFonts w:cs="Calibri"/>
                                <w:sz w:val="21"/>
                                <w:szCs w:val="21"/>
                              </w:rPr>
                              <w:t xml:space="preserve"> a “Blue” Connector that fits on</w:t>
                            </w:r>
                            <w:r w:rsidR="009C367D" w:rsidRPr="00B47879">
                              <w:rPr>
                                <w:rFonts w:cs="Calibri"/>
                                <w:sz w:val="21"/>
                                <w:szCs w:val="21"/>
                              </w:rPr>
                              <w:t xml:space="preserve"> a</w:t>
                            </w:r>
                            <w:r w:rsidR="00387DE0" w:rsidRPr="00B47879">
                              <w:rPr>
                                <w:rFonts w:cs="Calibri"/>
                                <w:sz w:val="21"/>
                                <w:szCs w:val="21"/>
                              </w:rPr>
                              <w:t xml:space="preserve"> </w:t>
                            </w:r>
                            <w:r w:rsidR="009C367D" w:rsidRPr="00B47879">
                              <w:rPr>
                                <w:rFonts w:cs="Calibri"/>
                                <w:sz w:val="21"/>
                                <w:szCs w:val="21"/>
                              </w:rPr>
                              <w:t>20mm vial</w:t>
                            </w:r>
                            <w:r w:rsidR="00387DE0" w:rsidRPr="00B47879">
                              <w:rPr>
                                <w:rFonts w:cs="Calibri"/>
                                <w:sz w:val="21"/>
                                <w:szCs w:val="21"/>
                              </w:rPr>
                              <w:t xml:space="preserve"> (e.g.</w:t>
                            </w:r>
                            <w:r w:rsidR="00332385" w:rsidRPr="00B47879">
                              <w:rPr>
                                <w:rFonts w:cs="Calibri"/>
                                <w:sz w:val="21"/>
                                <w:szCs w:val="21"/>
                              </w:rPr>
                              <w:t xml:space="preserve"> </w:t>
                            </w:r>
                            <w:r w:rsidR="00387DE0" w:rsidRPr="00B47879">
                              <w:rPr>
                                <w:rFonts w:cs="Calibri"/>
                                <w:sz w:val="21"/>
                                <w:szCs w:val="21"/>
                              </w:rPr>
                              <w:t>piperacillin/</w:t>
                            </w:r>
                            <w:r w:rsidR="00332385" w:rsidRPr="00B47879">
                              <w:rPr>
                                <w:rFonts w:cs="Calibri"/>
                                <w:sz w:val="21"/>
                                <w:szCs w:val="21"/>
                              </w:rPr>
                              <w:t xml:space="preserve"> </w:t>
                            </w:r>
                            <w:r w:rsidR="00387DE0" w:rsidRPr="00B47879">
                              <w:rPr>
                                <w:rFonts w:cs="Calibri"/>
                                <w:sz w:val="21"/>
                                <w:szCs w:val="21"/>
                              </w:rPr>
                              <w:t xml:space="preserve">tazobactam, vancomycin) </w:t>
                            </w:r>
                            <w:r w:rsidR="009C367D" w:rsidRPr="00B47879">
                              <w:rPr>
                                <w:rFonts w:cs="Calibri"/>
                                <w:sz w:val="21"/>
                                <w:szCs w:val="21"/>
                              </w:rPr>
                              <w:t xml:space="preserve">or </w:t>
                            </w:r>
                            <w:r w:rsidR="00387DE0" w:rsidRPr="00B47879">
                              <w:rPr>
                                <w:rFonts w:cs="Calibri"/>
                                <w:sz w:val="21"/>
                                <w:szCs w:val="21"/>
                              </w:rPr>
                              <w:t>an “orange” connector</w:t>
                            </w:r>
                            <w:r w:rsidR="009C367D" w:rsidRPr="00B47879">
                              <w:rPr>
                                <w:rFonts w:cs="Calibri"/>
                                <w:sz w:val="21"/>
                                <w:szCs w:val="21"/>
                              </w:rPr>
                              <w:t xml:space="preserve"> that fits on a smaller 13 mm vial (e.g. promethazine, norepinephrine). Currently we will start using the blue connectors first</w:t>
                            </w:r>
                            <w:r w:rsidR="00AF4869" w:rsidRPr="00B47879">
                              <w:rPr>
                                <w:rFonts w:cs="Calibri"/>
                                <w:sz w:val="21"/>
                                <w:szCs w:val="21"/>
                              </w:rPr>
                              <w:t xml:space="preserve"> as most of our drug vials are that size</w:t>
                            </w:r>
                            <w:r w:rsidR="009C367D" w:rsidRPr="00B47879">
                              <w:rPr>
                                <w:rFonts w:cs="Calibri"/>
                                <w:sz w:val="21"/>
                                <w:szCs w:val="21"/>
                              </w:rPr>
                              <w:t xml:space="preserve"> and bring in the orange connectors shortly a</w:t>
                            </w:r>
                            <w:r w:rsidR="00AF4869" w:rsidRPr="00B47879">
                              <w:rPr>
                                <w:rFonts w:cs="Calibri"/>
                                <w:sz w:val="21"/>
                                <w:szCs w:val="21"/>
                              </w:rPr>
                              <w:t>fterwards. Each connector type (blue or orange) can connect to any fluid size (50ml,100ml, 250ml) pursuant to the appropriate dilution amount.  This fluid amount should be listed on the administration instructions of each drug in the EMR system.</w:t>
                            </w:r>
                            <w:r w:rsidR="00332385" w:rsidRPr="00B47879">
                              <w:rPr>
                                <w:rFonts w:cs="Calibri"/>
                                <w:sz w:val="21"/>
                                <w:szCs w:val="21"/>
                              </w:rPr>
                              <w:t xml:space="preserve"> Once the drug is connected to the fluid and mixed according to instructions, the diluted medication should be used </w:t>
                            </w:r>
                            <w:r w:rsidR="003F26DF">
                              <w:rPr>
                                <w:rFonts w:cs="Calibri"/>
                                <w:sz w:val="21"/>
                                <w:szCs w:val="21"/>
                              </w:rPr>
                              <w:t>immediately</w:t>
                            </w:r>
                            <w:r w:rsidR="00F661F3" w:rsidRPr="00B47879">
                              <w:rPr>
                                <w:rFonts w:cs="Calibri"/>
                                <w:sz w:val="21"/>
                                <w:szCs w:val="21"/>
                              </w:rPr>
                              <w:t xml:space="preserve"> after dilution. </w:t>
                            </w:r>
                            <w:r w:rsidR="00C21129">
                              <w:rPr>
                                <w:rFonts w:cs="Calibri"/>
                                <w:sz w:val="21"/>
                                <w:szCs w:val="21"/>
                              </w:rPr>
                              <w:t>The company recommends the person</w:t>
                            </w:r>
                            <w:r w:rsidR="003F26DF">
                              <w:rPr>
                                <w:rFonts w:cs="Calibri"/>
                                <w:sz w:val="21"/>
                                <w:szCs w:val="21"/>
                              </w:rPr>
                              <w:t xml:space="preserve"> mix</w:t>
                            </w:r>
                            <w:r w:rsidR="00C21129">
                              <w:rPr>
                                <w:rFonts w:cs="Calibri"/>
                                <w:sz w:val="21"/>
                                <w:szCs w:val="21"/>
                              </w:rPr>
                              <w:t>ing</w:t>
                            </w:r>
                            <w:r w:rsidR="003F26DF">
                              <w:rPr>
                                <w:rFonts w:cs="Calibri"/>
                                <w:sz w:val="21"/>
                                <w:szCs w:val="21"/>
                              </w:rPr>
                              <w:t xml:space="preserve"> the drug also administer the drug to avoid confusion. </w:t>
                            </w:r>
                            <w:r w:rsidR="00F661F3" w:rsidRPr="00B47879">
                              <w:rPr>
                                <w:rFonts w:cs="Calibri"/>
                                <w:sz w:val="21"/>
                                <w:szCs w:val="21"/>
                              </w:rPr>
                              <w:t xml:space="preserve">Please see </w:t>
                            </w:r>
                            <w:r w:rsidR="00F661F3" w:rsidRPr="00B47879">
                              <w:rPr>
                                <w:rFonts w:cs="Calibri"/>
                                <w:b/>
                                <w:sz w:val="21"/>
                                <w:szCs w:val="21"/>
                              </w:rPr>
                              <w:t>Appendix A</w:t>
                            </w:r>
                            <w:r w:rsidR="00F661F3" w:rsidRPr="00B47879">
                              <w:rPr>
                                <w:rFonts w:cs="Calibri"/>
                                <w:sz w:val="21"/>
                                <w:szCs w:val="21"/>
                              </w:rPr>
                              <w:t xml:space="preserve"> for instructions on using </w:t>
                            </w:r>
                            <w:r w:rsidR="00F661F3" w:rsidRPr="00B47879">
                              <w:rPr>
                                <w:rFonts w:cs="Calibri"/>
                                <w:i/>
                                <w:sz w:val="21"/>
                                <w:szCs w:val="21"/>
                              </w:rPr>
                              <w:t xml:space="preserve">Vial2Bag ™ </w:t>
                            </w:r>
                            <w:r w:rsidR="00F661F3" w:rsidRPr="00B47879">
                              <w:rPr>
                                <w:rFonts w:cs="Calibri"/>
                                <w:sz w:val="21"/>
                                <w:szCs w:val="21"/>
                              </w:rPr>
                              <w:t>to help reconstitute drug and dilute in IV fluids.</w:t>
                            </w:r>
                          </w:p>
                          <w:p w:rsidR="000336A7" w:rsidRPr="00B47879" w:rsidRDefault="00E5352F" w:rsidP="005916C2">
                            <w:pPr>
                              <w:spacing w:after="0" w:line="240" w:lineRule="auto"/>
                              <w:rPr>
                                <w:rFonts w:eastAsia="Times New Roman"/>
                                <w:sz w:val="21"/>
                                <w:szCs w:val="21"/>
                              </w:rPr>
                            </w:pPr>
                            <w:r w:rsidRPr="005916C2">
                              <w:rPr>
                                <w:b/>
                                <w:i/>
                                <w:sz w:val="32"/>
                                <w:szCs w:val="32"/>
                                <w:u w:val="single"/>
                              </w:rPr>
                              <w:t>TPN Shortage</w:t>
                            </w:r>
                            <w:r w:rsidR="000336A7" w:rsidRPr="005916C2">
                              <w:rPr>
                                <w:b/>
                                <w:i/>
                                <w:sz w:val="32"/>
                                <w:szCs w:val="32"/>
                                <w:u w:val="single"/>
                              </w:rPr>
                              <w:t>:</w:t>
                            </w:r>
                            <w:r w:rsidR="000336A7" w:rsidRPr="005916C2">
                              <w:rPr>
                                <w:sz w:val="20"/>
                                <w:szCs w:val="20"/>
                              </w:rPr>
                              <w:t xml:space="preserve"> </w:t>
                            </w:r>
                            <w:r w:rsidR="000336A7" w:rsidRPr="00B47879">
                              <w:rPr>
                                <w:sz w:val="21"/>
                                <w:szCs w:val="21"/>
                              </w:rPr>
                              <w:t>There has been a critical</w:t>
                            </w:r>
                            <w:r w:rsidR="000336A7" w:rsidRPr="00B47879">
                              <w:rPr>
                                <w:rFonts w:eastAsia="Times New Roman"/>
                                <w:sz w:val="21"/>
                                <w:szCs w:val="21"/>
                              </w:rPr>
                              <w:t xml:space="preserve"> shortage of</w:t>
                            </w:r>
                            <w:r w:rsidR="008829B4" w:rsidRPr="00B47879">
                              <w:rPr>
                                <w:rFonts w:eastAsia="Times New Roman"/>
                                <w:sz w:val="21"/>
                                <w:szCs w:val="21"/>
                              </w:rPr>
                              <w:t xml:space="preserve"> all</w:t>
                            </w:r>
                            <w:r w:rsidR="000336A7" w:rsidRPr="00B47879">
                              <w:rPr>
                                <w:rFonts w:eastAsia="Times New Roman"/>
                                <w:sz w:val="21"/>
                                <w:szCs w:val="21"/>
                              </w:rPr>
                              <w:t xml:space="preserve"> </w:t>
                            </w:r>
                            <w:r w:rsidR="00EE366B" w:rsidRPr="00B47879">
                              <w:rPr>
                                <w:rFonts w:eastAsia="Times New Roman"/>
                                <w:sz w:val="21"/>
                                <w:szCs w:val="21"/>
                              </w:rPr>
                              <w:t>Total Parenteral Nutrition</w:t>
                            </w:r>
                            <w:r w:rsidR="008829B4" w:rsidRPr="00B47879">
                              <w:rPr>
                                <w:rFonts w:eastAsia="Times New Roman"/>
                                <w:sz w:val="21"/>
                                <w:szCs w:val="21"/>
                              </w:rPr>
                              <w:t xml:space="preserve"> products</w:t>
                            </w:r>
                            <w:r w:rsidR="00EE366B" w:rsidRPr="00B47879">
                              <w:rPr>
                                <w:rFonts w:eastAsia="Times New Roman"/>
                                <w:sz w:val="21"/>
                                <w:szCs w:val="21"/>
                              </w:rPr>
                              <w:t xml:space="preserve">, </w:t>
                            </w:r>
                            <w:r w:rsidR="008829B4" w:rsidRPr="00B47879">
                              <w:rPr>
                                <w:rFonts w:eastAsia="Times New Roman"/>
                                <w:sz w:val="21"/>
                                <w:szCs w:val="21"/>
                              </w:rPr>
                              <w:t xml:space="preserve">concentrated </w:t>
                            </w:r>
                            <w:r w:rsidR="000336A7" w:rsidRPr="00B47879">
                              <w:rPr>
                                <w:rFonts w:eastAsia="Times New Roman"/>
                                <w:sz w:val="21"/>
                                <w:szCs w:val="21"/>
                              </w:rPr>
                              <w:t>dextro</w:t>
                            </w:r>
                            <w:r w:rsidR="005916C2" w:rsidRPr="00B47879">
                              <w:rPr>
                                <w:rFonts w:eastAsia="Times New Roman"/>
                                <w:sz w:val="21"/>
                                <w:szCs w:val="21"/>
                              </w:rPr>
                              <w:t>se and amino acid</w:t>
                            </w:r>
                            <w:r w:rsidR="008829B4" w:rsidRPr="00B47879">
                              <w:rPr>
                                <w:rFonts w:eastAsia="Times New Roman"/>
                                <w:sz w:val="21"/>
                                <w:szCs w:val="21"/>
                              </w:rPr>
                              <w:t xml:space="preserve"> formulations </w:t>
                            </w:r>
                            <w:r w:rsidR="007D6260" w:rsidRPr="00B47879">
                              <w:rPr>
                                <w:rFonts w:eastAsia="Times New Roman"/>
                                <w:sz w:val="21"/>
                                <w:szCs w:val="21"/>
                              </w:rPr>
                              <w:t>over</w:t>
                            </w:r>
                            <w:r w:rsidR="005916C2" w:rsidRPr="00B47879">
                              <w:rPr>
                                <w:rFonts w:eastAsia="Times New Roman"/>
                                <w:sz w:val="21"/>
                                <w:szCs w:val="21"/>
                              </w:rPr>
                              <w:t xml:space="preserve"> the last few months</w:t>
                            </w:r>
                            <w:r w:rsidR="008829B4" w:rsidRPr="00B47879">
                              <w:rPr>
                                <w:rFonts w:eastAsia="Times New Roman"/>
                                <w:sz w:val="21"/>
                                <w:szCs w:val="21"/>
                              </w:rPr>
                              <w:t xml:space="preserve">. </w:t>
                            </w:r>
                            <w:r w:rsidR="007D6260" w:rsidRPr="00B47879">
                              <w:rPr>
                                <w:rFonts w:eastAsia="Times New Roman"/>
                                <w:sz w:val="21"/>
                                <w:szCs w:val="21"/>
                              </w:rPr>
                              <w:t xml:space="preserve">One of the larger </w:t>
                            </w:r>
                            <w:r w:rsidR="00B47879" w:rsidRPr="00B47879">
                              <w:rPr>
                                <w:rFonts w:eastAsia="Times New Roman"/>
                                <w:sz w:val="21"/>
                                <w:szCs w:val="21"/>
                              </w:rPr>
                              <w:t xml:space="preserve">TPN </w:t>
                            </w:r>
                            <w:r w:rsidR="003F26DF">
                              <w:rPr>
                                <w:rFonts w:eastAsia="Times New Roman"/>
                                <w:sz w:val="21"/>
                                <w:szCs w:val="21"/>
                              </w:rPr>
                              <w:t>suppliers</w:t>
                            </w:r>
                            <w:r w:rsidR="007D6260" w:rsidRPr="00B47879">
                              <w:rPr>
                                <w:rFonts w:eastAsia="Times New Roman"/>
                                <w:sz w:val="21"/>
                                <w:szCs w:val="21"/>
                              </w:rPr>
                              <w:t xml:space="preserve"> was affected by the recent hurricane in Puerto Rico</w:t>
                            </w:r>
                            <w:r w:rsidR="00B47879" w:rsidRPr="00B47879">
                              <w:rPr>
                                <w:rFonts w:eastAsia="Times New Roman"/>
                                <w:sz w:val="21"/>
                                <w:szCs w:val="21"/>
                              </w:rPr>
                              <w:t xml:space="preserve"> which greatly affected availability</w:t>
                            </w:r>
                            <w:r w:rsidR="007D6260" w:rsidRPr="00B47879">
                              <w:rPr>
                                <w:rFonts w:eastAsia="Times New Roman"/>
                                <w:sz w:val="21"/>
                                <w:szCs w:val="21"/>
                              </w:rPr>
                              <w:t>. MHS has been able to provide TPN to patients over the</w:t>
                            </w:r>
                            <w:r w:rsidR="00B47879" w:rsidRPr="00B47879">
                              <w:rPr>
                                <w:rFonts w:eastAsia="Times New Roman"/>
                                <w:sz w:val="21"/>
                                <w:szCs w:val="21"/>
                              </w:rPr>
                              <w:t xml:space="preserve"> last few months fortunately due to the small number of patients requiring TPN at our facility. Unfortunately, our supply of TPN is reaching the point where we may run out very soon. Please follow the guidelines below to help conserve.</w:t>
                            </w:r>
                            <w:r w:rsidR="008829B4" w:rsidRPr="00B47879">
                              <w:rPr>
                                <w:rFonts w:eastAsia="Times New Roman"/>
                                <w:sz w:val="21"/>
                                <w:szCs w:val="21"/>
                              </w:rPr>
                              <w:t xml:space="preserve"> </w:t>
                            </w:r>
                          </w:p>
                          <w:p w:rsidR="000336A7" w:rsidRPr="000336A7" w:rsidRDefault="000336A7" w:rsidP="000336A7">
                            <w:pPr>
                              <w:spacing w:before="100" w:beforeAutospacing="1" w:after="30" w:line="240" w:lineRule="auto"/>
                              <w:ind w:left="720"/>
                              <w:rPr>
                                <w:rFonts w:asciiTheme="minorHAnsi" w:hAnsiTheme="minorHAnsi"/>
                                <w:sz w:val="20"/>
                                <w:szCs w:val="20"/>
                              </w:rPr>
                            </w:pPr>
                            <w:r w:rsidRPr="000336A7">
                              <w:rPr>
                                <w:rFonts w:eastAsia="Times New Roman"/>
                              </w:rPr>
                              <w:t xml:space="preserve"> </w:t>
                            </w:r>
                            <w:r w:rsidRPr="000336A7">
                              <w:rPr>
                                <w:rFonts w:ascii="Times New Roman" w:hAnsi="Times New Roman"/>
                              </w:rPr>
                              <w:t>●</w:t>
                            </w:r>
                            <w:r w:rsidRPr="000336A7">
                              <w:rPr>
                                <w:rFonts w:asciiTheme="minorHAnsi" w:hAnsiTheme="minorHAnsi" w:cs="Helvetica"/>
                                <w:sz w:val="20"/>
                                <w:szCs w:val="20"/>
                              </w:rPr>
                              <w:t>For patients without contraindications to enteral nutrition, begin early enteral feeding (</w:t>
                            </w:r>
                            <w:r w:rsidR="00B86B83" w:rsidRPr="000336A7">
                              <w:rPr>
                                <w:rFonts w:asciiTheme="minorHAnsi" w:hAnsiTheme="minorHAnsi" w:cs="Helvetica"/>
                                <w:sz w:val="20"/>
                                <w:szCs w:val="20"/>
                              </w:rPr>
                              <w:t>e.</w:t>
                            </w:r>
                            <w:r w:rsidR="00B86B83">
                              <w:rPr>
                                <w:rFonts w:asciiTheme="minorHAnsi" w:hAnsiTheme="minorHAnsi" w:cs="Helvetica"/>
                                <w:sz w:val="20"/>
                                <w:szCs w:val="20"/>
                              </w:rPr>
                              <w:t>g.</w:t>
                            </w:r>
                            <w:r w:rsidRPr="000336A7">
                              <w:rPr>
                                <w:rFonts w:asciiTheme="minorHAnsi" w:hAnsiTheme="minorHAnsi" w:cs="Helvetica"/>
                                <w:sz w:val="20"/>
                                <w:szCs w:val="20"/>
                              </w:rPr>
                              <w:t>, within 48 hours) because the potential benefits of early enteral feeding (</w:t>
                            </w:r>
                            <w:r w:rsidR="00B86B83" w:rsidRPr="000336A7">
                              <w:rPr>
                                <w:rFonts w:asciiTheme="minorHAnsi" w:hAnsiTheme="minorHAnsi" w:cs="Helvetica"/>
                                <w:sz w:val="20"/>
                                <w:szCs w:val="20"/>
                              </w:rPr>
                              <w:t>e.g.</w:t>
                            </w:r>
                            <w:r w:rsidRPr="000336A7">
                              <w:rPr>
                                <w:rFonts w:asciiTheme="minorHAnsi" w:hAnsiTheme="minorHAnsi" w:cs="Helvetica"/>
                                <w:sz w:val="20"/>
                                <w:szCs w:val="20"/>
                              </w:rPr>
                              <w:t xml:space="preserve">, fewer infections, possibly lower mortality) outweigh its risks. During the first week of critical illness, avoid exceeding 20 to 30 percent of feeding goal, unless the patient is quite stable. </w:t>
                            </w:r>
                          </w:p>
                          <w:p w:rsidR="00B47879" w:rsidRDefault="000336A7" w:rsidP="00B47879">
                            <w:pPr>
                              <w:spacing w:before="100" w:beforeAutospacing="1" w:after="30" w:line="240" w:lineRule="auto"/>
                              <w:ind w:left="720"/>
                              <w:rPr>
                                <w:rFonts w:asciiTheme="minorHAnsi" w:hAnsiTheme="minorHAnsi" w:cs="Calibri"/>
                                <w:sz w:val="20"/>
                                <w:szCs w:val="20"/>
                              </w:rPr>
                            </w:pPr>
                            <w:r w:rsidRPr="000336A7">
                              <w:rPr>
                                <w:rFonts w:asciiTheme="minorHAnsi" w:hAnsiTheme="minorHAnsi"/>
                                <w:sz w:val="20"/>
                                <w:szCs w:val="20"/>
                              </w:rPr>
                              <w:t>●</w:t>
                            </w:r>
                            <w:r w:rsidRPr="000336A7">
                              <w:rPr>
                                <w:rFonts w:asciiTheme="minorHAnsi" w:hAnsiTheme="minorHAnsi" w:cs="Helvetica"/>
                                <w:sz w:val="20"/>
                                <w:szCs w:val="20"/>
                              </w:rPr>
                              <w:t>For adequately nourished patients who have contraindications or intolerance to enteral nutrition, avoid initiating early parenteral nutrition and avoid feeding parenterally before one to two weeks have elapsed. This reflects the evidence that early parenteral nutrition may increase the risk of infection and prolong mechanical ventilation, intensive care unit (ICU) stay, and hospital stay.</w:t>
                            </w:r>
                          </w:p>
                          <w:p w:rsidR="000336A7" w:rsidRPr="000336A7" w:rsidRDefault="000336A7" w:rsidP="00B47879">
                            <w:pPr>
                              <w:spacing w:before="100" w:beforeAutospacing="1" w:after="30" w:line="240" w:lineRule="auto"/>
                              <w:ind w:left="720"/>
                              <w:rPr>
                                <w:rFonts w:asciiTheme="minorHAnsi" w:hAnsiTheme="minorHAnsi" w:cs="Calibri"/>
                                <w:sz w:val="20"/>
                                <w:szCs w:val="20"/>
                              </w:rPr>
                            </w:pPr>
                            <w:r w:rsidRPr="000336A7">
                              <w:rPr>
                                <w:rFonts w:asciiTheme="minorHAnsi" w:hAnsiTheme="minorHAnsi"/>
                                <w:sz w:val="20"/>
                                <w:szCs w:val="20"/>
                              </w:rPr>
                              <w:t>●</w:t>
                            </w:r>
                            <w:r w:rsidRPr="000336A7">
                              <w:rPr>
                                <w:rFonts w:asciiTheme="minorHAnsi" w:hAnsiTheme="minorHAnsi" w:cs="Helvetica"/>
                                <w:sz w:val="20"/>
                                <w:szCs w:val="20"/>
                              </w:rPr>
                              <w:t>For inadequately nourished patients who have contraindications to enteral nutrition that are expected to persist for a week or more, consider initiating parenteral nutrition within the first few days. The effects of parenteral nutrition in such patients are unknown; however, the rationale is that failure to treat the malnourishment will result in a progressive caloric deficit, which is associated with increased morbidity. Supplemental PN may be administered to patients receiving enteral nutrition but chronically unable to meet their needs by a significant margin. This, however, does not apply to patients during at least the first week of ICU care.</w:t>
                            </w:r>
                            <w:r w:rsidR="00B47879" w:rsidRPr="00B47879">
                              <w:rPr>
                                <w:rFonts w:asciiTheme="minorHAnsi" w:eastAsia="Times New Roman" w:hAnsiTheme="minorHAnsi"/>
                              </w:rPr>
                              <w:t xml:space="preserve"> </w:t>
                            </w:r>
                          </w:p>
                          <w:p w:rsidR="00B47879" w:rsidRDefault="00B47879" w:rsidP="000336A7">
                            <w:pPr>
                              <w:spacing w:after="0" w:line="240" w:lineRule="auto"/>
                              <w:ind w:left="180"/>
                              <w:contextualSpacing/>
                              <w:rPr>
                                <w:rFonts w:eastAsia="Times New Roman"/>
                                <w:sz w:val="20"/>
                                <w:szCs w:val="20"/>
                              </w:rPr>
                            </w:pPr>
                          </w:p>
                          <w:p w:rsidR="000336A7" w:rsidRPr="000336A7" w:rsidRDefault="00B47879" w:rsidP="000336A7">
                            <w:pPr>
                              <w:spacing w:after="0" w:line="240" w:lineRule="auto"/>
                              <w:ind w:left="180"/>
                              <w:contextualSpacing/>
                              <w:rPr>
                                <w:rFonts w:eastAsia="Times New Roman"/>
                                <w:sz w:val="21"/>
                                <w:szCs w:val="21"/>
                              </w:rPr>
                            </w:pPr>
                            <w:r>
                              <w:rPr>
                                <w:rFonts w:eastAsia="Times New Roman"/>
                                <w:sz w:val="21"/>
                                <w:szCs w:val="21"/>
                              </w:rPr>
                              <w:t xml:space="preserve">Pharmacy is also conserving TPN when consulted by </w:t>
                            </w:r>
                            <w:r w:rsidR="000336A7" w:rsidRPr="000336A7">
                              <w:rPr>
                                <w:rFonts w:eastAsia="Times New Roman"/>
                                <w:sz w:val="21"/>
                                <w:szCs w:val="21"/>
                              </w:rPr>
                              <w:t>rounding</w:t>
                            </w:r>
                            <w:r w:rsidR="00A135A8">
                              <w:rPr>
                                <w:rFonts w:eastAsia="Times New Roman"/>
                                <w:sz w:val="21"/>
                                <w:szCs w:val="21"/>
                              </w:rPr>
                              <w:t xml:space="preserve"> the patient’s nutritional goal</w:t>
                            </w:r>
                            <w:r w:rsidR="000336A7" w:rsidRPr="000336A7">
                              <w:rPr>
                                <w:rFonts w:eastAsia="Times New Roman"/>
                                <w:sz w:val="21"/>
                                <w:szCs w:val="21"/>
                              </w:rPr>
                              <w:t xml:space="preserve"> to the </w:t>
                            </w:r>
                            <w:r>
                              <w:rPr>
                                <w:rFonts w:eastAsia="Times New Roman"/>
                                <w:sz w:val="21"/>
                                <w:szCs w:val="21"/>
                              </w:rPr>
                              <w:t xml:space="preserve">nearest bag size (e.g. 2Liters) instead of </w:t>
                            </w:r>
                            <w:r w:rsidR="00A135A8">
                              <w:rPr>
                                <w:rFonts w:eastAsia="Times New Roman"/>
                                <w:sz w:val="21"/>
                                <w:szCs w:val="21"/>
                              </w:rPr>
                              <w:t>a specific goal rate</w:t>
                            </w:r>
                            <w:r>
                              <w:rPr>
                                <w:rFonts w:eastAsia="Times New Roman"/>
                                <w:sz w:val="21"/>
                                <w:szCs w:val="21"/>
                              </w:rPr>
                              <w:t>.</w:t>
                            </w:r>
                            <w:r w:rsidR="00A135A8">
                              <w:rPr>
                                <w:rFonts w:eastAsia="Times New Roman"/>
                                <w:sz w:val="21"/>
                                <w:szCs w:val="21"/>
                              </w:rPr>
                              <w:t xml:space="preserve"> Other potential interventions include changing the han</w:t>
                            </w:r>
                            <w:bookmarkStart w:id="0" w:name="_GoBack"/>
                            <w:bookmarkEnd w:id="0"/>
                            <w:r w:rsidR="00A135A8">
                              <w:rPr>
                                <w:rFonts w:eastAsia="Times New Roman"/>
                                <w:sz w:val="21"/>
                                <w:szCs w:val="21"/>
                              </w:rPr>
                              <w:t xml:space="preserve">g time of TPN so that the bag does not waste if the nutritional goals cannot be rounded to the nearest bag size. Specific instructions will be provided by pharmacy if the </w:t>
                            </w:r>
                            <w:r w:rsidR="003F26DF">
                              <w:rPr>
                                <w:rFonts w:eastAsia="Times New Roman"/>
                                <w:sz w:val="21"/>
                                <w:szCs w:val="21"/>
                              </w:rPr>
                              <w:t xml:space="preserve">TPN </w:t>
                            </w:r>
                            <w:r w:rsidR="00A135A8">
                              <w:rPr>
                                <w:rFonts w:eastAsia="Times New Roman"/>
                                <w:sz w:val="21"/>
                                <w:szCs w:val="21"/>
                              </w:rPr>
                              <w:t xml:space="preserve">hang time is changed. </w:t>
                            </w:r>
                          </w:p>
                          <w:p w:rsidR="000336A7" w:rsidRPr="000336A7" w:rsidRDefault="000336A7" w:rsidP="000336A7">
                            <w:pPr>
                              <w:spacing w:after="0" w:line="240" w:lineRule="auto"/>
                              <w:ind w:left="180"/>
                              <w:contextualSpacing/>
                              <w:rPr>
                                <w:rFonts w:eastAsia="Times New Roman"/>
                                <w:sz w:val="21"/>
                                <w:szCs w:val="21"/>
                              </w:rPr>
                            </w:pPr>
                          </w:p>
                          <w:p w:rsidR="00F661F3" w:rsidRPr="00E5352F" w:rsidRDefault="00F661F3" w:rsidP="000F02D3">
                            <w:pPr>
                              <w:rPr>
                                <w:sz w:val="32"/>
                                <w:szCs w:val="32"/>
                              </w:rPr>
                            </w:pPr>
                          </w:p>
                          <w:p w:rsidR="00AF4869" w:rsidRPr="00AF4869" w:rsidRDefault="00AF4869" w:rsidP="000F02D3">
                            <w:pPr>
                              <w:rPr>
                                <w:rFonts w:cs="Calibri"/>
                                <w:sz w:val="24"/>
                                <w:szCs w:val="24"/>
                              </w:rPr>
                            </w:pPr>
                          </w:p>
                          <w:p w:rsidR="005F21B9" w:rsidRPr="000F02D3" w:rsidRDefault="005F21B9" w:rsidP="000F02D3">
                            <w:pPr>
                              <w:rPr>
                                <w:sz w:val="20"/>
                                <w:szCs w:val="20"/>
                              </w:rPr>
                            </w:pPr>
                          </w:p>
                          <w:p w:rsidR="001773A3" w:rsidRPr="0007290A" w:rsidRDefault="001773A3" w:rsidP="00BE43EA">
                            <w:pPr>
                              <w:rPr>
                                <w:rFonts w:ascii="Arial" w:hAnsi="Arial" w:cs="Arial"/>
                                <w:sz w:val="20"/>
                                <w:szCs w:val="20"/>
                              </w:rPr>
                            </w:pPr>
                          </w:p>
                          <w:p w:rsidR="001773A3" w:rsidRPr="0007290A" w:rsidRDefault="000C4F60" w:rsidP="001773A3">
                            <w:pPr>
                              <w:rPr>
                                <w:rFonts w:ascii="Arial" w:hAnsi="Arial" w:cs="Arial"/>
                                <w:sz w:val="20"/>
                                <w:szCs w:val="20"/>
                              </w:rPr>
                            </w:pPr>
                            <w:r>
                              <w:rPr>
                                <w:rFonts w:ascii="Arial" w:hAnsi="Arial" w:cs="Arial"/>
                                <w:sz w:val="20"/>
                                <w:szCs w:val="20"/>
                              </w:rPr>
                              <w:t xml:space="preserve">                                                                                                                                                     </w:t>
                            </w:r>
                          </w:p>
                          <w:p w:rsidR="001B2F9F" w:rsidRPr="0007290A" w:rsidRDefault="00720717" w:rsidP="00D11160">
                            <w:pPr>
                              <w:rPr>
                                <w:rFonts w:ascii="Arial" w:hAnsi="Arial" w:cs="Arial"/>
                                <w:sz w:val="20"/>
                                <w:szCs w:val="20"/>
                              </w:rPr>
                            </w:pPr>
                            <w:r w:rsidRPr="0007290A">
                              <w:rPr>
                                <w:rFonts w:ascii="Arial" w:hAnsi="Arial" w:cs="Arial"/>
                                <w:sz w:val="20"/>
                                <w:szCs w:val="20"/>
                              </w:rPr>
                              <w:t xml:space="preserve">. </w:t>
                            </w:r>
                            <w:r w:rsidR="001B2F9F" w:rsidRPr="0007290A">
                              <w:rPr>
                                <w:rFonts w:ascii="Arial" w:hAnsi="Arial" w:cs="Arial"/>
                                <w:sz w:val="20"/>
                                <w:szCs w:val="20"/>
                              </w:rPr>
                              <w:t xml:space="preserve"> </w:t>
                            </w:r>
                          </w:p>
                          <w:p w:rsidR="001B2F9F" w:rsidRPr="0007290A" w:rsidRDefault="001B2F9F" w:rsidP="00D11160">
                            <w:pPr>
                              <w:rPr>
                                <w:rFonts w:ascii="Arial" w:hAnsi="Arial" w:cs="Arial"/>
                                <w:sz w:val="18"/>
                                <w:szCs w:val="18"/>
                              </w:rPr>
                            </w:pPr>
                          </w:p>
                          <w:p w:rsidR="0093697B" w:rsidRDefault="0093697B" w:rsidP="00054518">
                            <w:pPr>
                              <w:autoSpaceDE w:val="0"/>
                              <w:autoSpaceDN w:val="0"/>
                              <w:adjustRightInd w:val="0"/>
                              <w:spacing w:after="0" w:line="240" w:lineRule="auto"/>
                              <w:rPr>
                                <w:sz w:val="28"/>
                                <w:szCs w:val="28"/>
                              </w:rPr>
                            </w:pPr>
                          </w:p>
                          <w:p w:rsidR="00A95B6C" w:rsidRPr="00A95B6C" w:rsidRDefault="0093697B" w:rsidP="00054518">
                            <w:pPr>
                              <w:autoSpaceDE w:val="0"/>
                              <w:autoSpaceDN w:val="0"/>
                              <w:adjustRightInd w:val="0"/>
                              <w:spacing w:after="0" w:line="240" w:lineRule="auto"/>
                              <w:rPr>
                                <w:rFonts w:eastAsia="Times New Roman"/>
                                <w:color w:val="000000"/>
                                <w:kern w:val="28"/>
                                <w:sz w:val="20"/>
                                <w:szCs w:val="20"/>
                                <w14:cntxtAlts/>
                              </w:rPr>
                            </w:pPr>
                            <w:r>
                              <w:rPr>
                                <w:sz w:val="28"/>
                                <w:szCs w:val="28"/>
                              </w:rPr>
                              <w:t xml:space="preserve"> </w:t>
                            </w:r>
                            <w:r w:rsidR="009D7045">
                              <w:rPr>
                                <w:b/>
                                <w:i/>
                                <w:sz w:val="28"/>
                                <w:szCs w:val="28"/>
                                <w:u w:val="single"/>
                              </w:rPr>
                              <w:t xml:space="preserve"> </w:t>
                            </w:r>
                          </w:p>
                          <w:p w:rsidR="00A95B6C" w:rsidRDefault="00A95B6C" w:rsidP="00054518">
                            <w:pPr>
                              <w:widowControl w:val="0"/>
                              <w:spacing w:after="120" w:line="240" w:lineRule="auto"/>
                              <w:ind w:left="360" w:hanging="360"/>
                              <w:rPr>
                                <w:rFonts w:eastAsia="Times New Roman"/>
                                <w:color w:val="000000"/>
                                <w:kern w:val="28"/>
                                <w:sz w:val="20"/>
                                <w:szCs w:val="20"/>
                                <w14:cntxtAlts/>
                              </w:rPr>
                            </w:pPr>
                            <w:r w:rsidRPr="00A95B6C">
                              <w:rPr>
                                <w:rFonts w:eastAsia="Times New Roman"/>
                                <w:b/>
                                <w:bCs/>
                                <w:color w:val="000000"/>
                                <w:kern w:val="28"/>
                                <w:sz w:val="32"/>
                                <w:szCs w:val="32"/>
                                <w14:cntxtAlts/>
                              </w:rPr>
                              <w:tab/>
                            </w:r>
                          </w:p>
                          <w:p w:rsidR="00A95B6C" w:rsidRPr="00A95B6C" w:rsidRDefault="00A95B6C" w:rsidP="00A95B6C">
                            <w:pPr>
                              <w:widowControl w:val="0"/>
                              <w:spacing w:after="120" w:line="285" w:lineRule="auto"/>
                              <w:rPr>
                                <w:rFonts w:eastAsia="Times New Roman"/>
                                <w:color w:val="000000"/>
                                <w:kern w:val="28"/>
                                <w:sz w:val="21"/>
                                <w:szCs w:val="21"/>
                                <w14:cntxtAlts/>
                              </w:rPr>
                            </w:pPr>
                            <w:r w:rsidRPr="00A95B6C">
                              <w:rPr>
                                <w:rFonts w:eastAsia="Times New Roman"/>
                                <w:color w:val="000000"/>
                                <w:kern w:val="28"/>
                                <w:sz w:val="21"/>
                                <w:szCs w:val="21"/>
                                <w14:cntxtAlts/>
                              </w:rPr>
                              <w:t> </w:t>
                            </w:r>
                          </w:p>
                          <w:p w:rsidR="00A95B6C" w:rsidRDefault="00A95B6C" w:rsidP="0010555E">
                            <w:pPr>
                              <w:pStyle w:val="ListParagraph"/>
                              <w:spacing w:after="0" w:line="240" w:lineRule="auto"/>
                              <w:ind w:left="0"/>
                              <w:rPr>
                                <w:rFonts w:cs="Arial"/>
                                <w:sz w:val="21"/>
                                <w:szCs w:val="21"/>
                              </w:rPr>
                            </w:pPr>
                          </w:p>
                          <w:p w:rsidR="004976F0" w:rsidRPr="00C313BE" w:rsidRDefault="004976F0" w:rsidP="0010555E">
                            <w:pPr>
                              <w:pStyle w:val="ListParagraph"/>
                              <w:spacing w:after="0" w:line="240" w:lineRule="auto"/>
                              <w:ind w:left="0"/>
                              <w:rPr>
                                <w:rFonts w:cs="Arial"/>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Pr="00EA07FF" w:rsidRDefault="004976F0" w:rsidP="0010555E">
                            <w:pPr>
                              <w:pStyle w:val="ListParagraph"/>
                              <w:spacing w:after="0" w:line="240" w:lineRule="auto"/>
                              <w:ind w:left="0"/>
                              <w:rPr>
                                <w:rFonts w:cs="Arial"/>
                                <w:sz w:val="20"/>
                                <w:szCs w:val="20"/>
                              </w:rPr>
                            </w:pPr>
                          </w:p>
                          <w:p w:rsidR="004976F0" w:rsidRPr="005E39B7" w:rsidRDefault="004976F0" w:rsidP="0010555E">
                            <w:pPr>
                              <w:pStyle w:val="ListParagraph"/>
                              <w:spacing w:after="0" w:line="240" w:lineRule="auto"/>
                              <w:ind w:left="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48B1" id="_x0000_t202" coordsize="21600,21600" o:spt="202" path="m,l,21600r21600,l21600,xe">
                <v:stroke joinstyle="miter"/>
                <v:path gradientshapeok="t" o:connecttype="rect"/>
              </v:shapetype>
              <v:shape id="Text Box 6" o:spid="_x0000_s1026" type="#_x0000_t202" style="position:absolute;left:0;text-align:left;margin-left:.75pt;margin-top:-13.75pt;width:451.5pt;height:6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QJKQIAAFEEAAAOAAAAZHJzL2Uyb0RvYy54bWysVNtu2zAMfR+wfxD0vtjJ4jQ14hRdugwD&#10;ugvQ7gNkWbaFyaImKbGzry8lu1l2wR6G+UEgReqQPCS9uRk6RY7COgm6oPNZSonQHCqpm4J+edy/&#10;WlPiPNMVU6BFQU/C0Zvtyxeb3uRiAS2oSliCINrlvSlo673Jk8TxVnTMzcAIjcYabMc8qrZJKst6&#10;RO9UskjTVdKDrYwFLpzD27vRSLcRv64F95/q2glPVEExNx9PG88ynMl2w/LGMtNKPqXB/iGLjkmN&#10;Qc9Qd8wzcrDyN6hOcgsOaj/j0CVQ15KLWANWM09/qeahZUbEWpAcZ840uf8Hyz8eP1siq4IuKdGs&#10;wxY9isGTNzCQVWCnNy5HpweDbn7Aa+xyrNSZe+BfHdGwa5luxK210LeCVZjdPLxMLp6OOC6AlP0H&#10;qDAMO3iIQENtu0AdkkEQHbt0OncmpMLxMrt6vUwzNHG0rVfZerHIYgyWPz831vl3AjoShIJabH2E&#10;Z8d750M6LH92CdEcKFntpVJRsU25U5YcGY7JPn4T+k9uSpO+oNcZxv47RBq/P0F00uO8K9lhGWcn&#10;lgfe3uoqTqNnUo0ypqz0RGTgbmTRD+UwNaaE6oSUWhjnGvcQhRbsd0p6nOmCum8HZgUl6r3GtlzP&#10;l8uwBFFZZlcLVOylpby0MM0RqqCeklHc+XFxDsbKpsVI4yBouMVW1jKSHHo+ZjXljXMbuZ92LCzG&#10;pR69fvwJtk8AAAD//wMAUEsDBBQABgAIAAAAIQBaGlea3wAAAAoBAAAPAAAAZHJzL2Rvd25yZXYu&#10;eG1sTI/NTsMwEITvSLyDtUhcUGvTlLQNcSqEBKI3aCu4uvE2ifBPsN00vD3LCW4z+kazs+V6tIYN&#10;GGLnnYTbqQCGrva6c42E/e5psgQWk3JaGe9QwjdGWFeXF6UqtD+7Nxy2qWFU4mKhJLQp9QXnsW7R&#10;qjj1PTpiRx+sSmRDw3VQZyq3hs+EyLlVnaMLrerxscX6c3uyEpbzl+EjbrLX9zo/mlW6WQzPX0HK&#10;66vx4R5YwjH9heF3Pk2HijYd/MnpyAz5OwpKmMwWJIivxJzEgUCW5QJ4VfL/L1Q/AAAA//8DAFBL&#10;AQItABQABgAIAAAAIQC2gziS/gAAAOEBAAATAAAAAAAAAAAAAAAAAAAAAABbQ29udGVudF9UeXBl&#10;c10ueG1sUEsBAi0AFAAGAAgAAAAhADj9If/WAAAAlAEAAAsAAAAAAAAAAAAAAAAALwEAAF9yZWxz&#10;Ly5yZWxzUEsBAi0AFAAGAAgAAAAhAMJaxAkpAgAAUQQAAA4AAAAAAAAAAAAAAAAALgIAAGRycy9l&#10;Mm9Eb2MueG1sUEsBAi0AFAAGAAgAAAAhAFoaV5rfAAAACgEAAA8AAAAAAAAAAAAAAAAAgwQAAGRy&#10;cy9kb3ducmV2LnhtbFBLBQYAAAAABAAEAPMAAACPBQAAAAA=&#10;">
                <v:textbox>
                  <w:txbxContent>
                    <w:p w:rsidR="00AF4869" w:rsidRPr="00B47879" w:rsidRDefault="00B81DC3" w:rsidP="000F02D3">
                      <w:pPr>
                        <w:rPr>
                          <w:rFonts w:cs="Calibri"/>
                          <w:sz w:val="21"/>
                          <w:szCs w:val="21"/>
                        </w:rPr>
                      </w:pPr>
                      <w:r>
                        <w:rPr>
                          <w:b/>
                          <w:i/>
                          <w:sz w:val="32"/>
                          <w:szCs w:val="32"/>
                          <w:u w:val="single"/>
                        </w:rPr>
                        <w:t>Vial2Bag Drug Connector System</w:t>
                      </w:r>
                      <w:r w:rsidR="001773A3">
                        <w:rPr>
                          <w:b/>
                          <w:i/>
                          <w:sz w:val="32"/>
                          <w:szCs w:val="32"/>
                          <w:u w:val="single"/>
                        </w:rPr>
                        <w:t>:</w:t>
                      </w:r>
                      <w:r w:rsidR="001773A3" w:rsidRPr="00026BC9">
                        <w:rPr>
                          <w:sz w:val="32"/>
                          <w:szCs w:val="32"/>
                        </w:rPr>
                        <w:t xml:space="preserve"> </w:t>
                      </w:r>
                      <w:r w:rsidR="00D456BC">
                        <w:rPr>
                          <w:sz w:val="32"/>
                          <w:szCs w:val="32"/>
                        </w:rPr>
                        <w:t xml:space="preserve"> </w:t>
                      </w:r>
                      <w:r w:rsidR="007511F1" w:rsidRPr="00B47879">
                        <w:rPr>
                          <w:rFonts w:cs="Calibri"/>
                          <w:sz w:val="21"/>
                          <w:szCs w:val="21"/>
                        </w:rPr>
                        <w:t>Maui Health systems (Maui, Kula and Lanai)</w:t>
                      </w:r>
                      <w:r w:rsidR="000200A0" w:rsidRPr="00B47879">
                        <w:rPr>
                          <w:rFonts w:cs="Calibri"/>
                          <w:sz w:val="21"/>
                          <w:szCs w:val="21"/>
                        </w:rPr>
                        <w:t xml:space="preserve"> is converting </w:t>
                      </w:r>
                      <w:r w:rsidR="00D456BC" w:rsidRPr="00B47879">
                        <w:rPr>
                          <w:rFonts w:cs="Calibri"/>
                          <w:sz w:val="21"/>
                          <w:szCs w:val="21"/>
                        </w:rPr>
                        <w:t xml:space="preserve">to a new drug connector system </w:t>
                      </w:r>
                      <w:r w:rsidR="000200A0" w:rsidRPr="00B47879">
                        <w:rPr>
                          <w:rFonts w:cs="Calibri"/>
                          <w:sz w:val="21"/>
                          <w:szCs w:val="21"/>
                        </w:rPr>
                        <w:t xml:space="preserve">called </w:t>
                      </w:r>
                      <w:r w:rsidR="000200A0" w:rsidRPr="00B47879">
                        <w:rPr>
                          <w:rFonts w:cs="Calibri"/>
                          <w:i/>
                          <w:sz w:val="21"/>
                          <w:szCs w:val="21"/>
                        </w:rPr>
                        <w:t>Vial2Bag</w:t>
                      </w:r>
                      <w:r w:rsidR="005B0CEF" w:rsidRPr="00B47879">
                        <w:rPr>
                          <w:rFonts w:cs="Calibri"/>
                          <w:i/>
                          <w:sz w:val="21"/>
                          <w:szCs w:val="21"/>
                        </w:rPr>
                        <w:t xml:space="preserve"> ™</w:t>
                      </w:r>
                      <w:r w:rsidR="00D456BC" w:rsidRPr="00B47879">
                        <w:rPr>
                          <w:rFonts w:cs="Calibri"/>
                          <w:i/>
                          <w:sz w:val="21"/>
                          <w:szCs w:val="21"/>
                        </w:rPr>
                        <w:t>.</w:t>
                      </w:r>
                      <w:r w:rsidR="00D456BC" w:rsidRPr="00B47879">
                        <w:rPr>
                          <w:rFonts w:cs="Calibri"/>
                          <w:sz w:val="21"/>
                          <w:szCs w:val="21"/>
                        </w:rPr>
                        <w:t xml:space="preserve"> The target date for conversion will take place on</w:t>
                      </w:r>
                      <w:r w:rsidR="003F26DF">
                        <w:rPr>
                          <w:rFonts w:cs="Calibri"/>
                          <w:sz w:val="21"/>
                          <w:szCs w:val="21"/>
                        </w:rPr>
                        <w:t xml:space="preserve"> Tuesday</w:t>
                      </w:r>
                      <w:r w:rsidR="00D456BC" w:rsidRPr="00B47879">
                        <w:rPr>
                          <w:rFonts w:cs="Calibri"/>
                          <w:sz w:val="21"/>
                          <w:szCs w:val="21"/>
                        </w:rPr>
                        <w:t xml:space="preserve"> </w:t>
                      </w:r>
                      <w:r w:rsidR="00D456BC" w:rsidRPr="00B47879">
                        <w:rPr>
                          <w:rFonts w:cs="Calibri"/>
                          <w:b/>
                          <w:sz w:val="21"/>
                          <w:szCs w:val="21"/>
                        </w:rPr>
                        <w:t>January 23</w:t>
                      </w:r>
                      <w:r w:rsidR="00D456BC" w:rsidRPr="00B47879">
                        <w:rPr>
                          <w:rFonts w:cs="Calibri"/>
                          <w:b/>
                          <w:sz w:val="21"/>
                          <w:szCs w:val="21"/>
                          <w:vertAlign w:val="superscript"/>
                        </w:rPr>
                        <w:t>rd</w:t>
                      </w:r>
                      <w:r w:rsidR="00D456BC" w:rsidRPr="00B47879">
                        <w:rPr>
                          <w:rFonts w:cs="Calibri"/>
                          <w:b/>
                          <w:sz w:val="21"/>
                          <w:szCs w:val="21"/>
                        </w:rPr>
                        <w:t>, 2018</w:t>
                      </w:r>
                      <w:r w:rsidR="00D456BC" w:rsidRPr="00B47879">
                        <w:rPr>
                          <w:rFonts w:cs="Calibri"/>
                          <w:sz w:val="21"/>
                          <w:szCs w:val="21"/>
                        </w:rPr>
                        <w:t>.</w:t>
                      </w:r>
                      <w:r w:rsidR="00D456BC" w:rsidRPr="00B47879">
                        <w:rPr>
                          <w:rFonts w:cs="Calibri"/>
                          <w:i/>
                          <w:sz w:val="21"/>
                          <w:szCs w:val="21"/>
                        </w:rPr>
                        <w:t xml:space="preserve"> </w:t>
                      </w:r>
                      <w:r w:rsidR="00D456BC" w:rsidRPr="00B47879">
                        <w:rPr>
                          <w:rFonts w:cs="Calibri"/>
                          <w:sz w:val="21"/>
                          <w:szCs w:val="21"/>
                        </w:rPr>
                        <w:t>This new system will replace</w:t>
                      </w:r>
                      <w:r w:rsidR="004D4F87" w:rsidRPr="00B47879">
                        <w:rPr>
                          <w:rFonts w:cs="Calibri"/>
                          <w:sz w:val="21"/>
                          <w:szCs w:val="21"/>
                        </w:rPr>
                        <w:t xml:space="preserve"> the</w:t>
                      </w:r>
                      <w:r w:rsidR="005B0CEF" w:rsidRPr="00B47879">
                        <w:rPr>
                          <w:rFonts w:cs="Calibri"/>
                          <w:sz w:val="21"/>
                          <w:szCs w:val="21"/>
                        </w:rPr>
                        <w:t xml:space="preserve"> previous “Add-Ease” Binary Connector system.</w:t>
                      </w:r>
                      <w:r w:rsidR="000200A0" w:rsidRPr="00B47879">
                        <w:rPr>
                          <w:rFonts w:cs="Calibri"/>
                          <w:i/>
                          <w:sz w:val="21"/>
                          <w:szCs w:val="21"/>
                        </w:rPr>
                        <w:t xml:space="preserve"> </w:t>
                      </w:r>
                      <w:r w:rsidR="005B0CEF" w:rsidRPr="00B47879">
                        <w:rPr>
                          <w:rFonts w:cs="Calibri"/>
                          <w:i/>
                          <w:sz w:val="21"/>
                          <w:szCs w:val="21"/>
                        </w:rPr>
                        <w:t xml:space="preserve">Vial2Bag ™ </w:t>
                      </w:r>
                      <w:r w:rsidR="00D456BC" w:rsidRPr="00B47879">
                        <w:rPr>
                          <w:rFonts w:cs="Calibri"/>
                          <w:sz w:val="21"/>
                          <w:szCs w:val="21"/>
                        </w:rPr>
                        <w:t>can be used with any brand of intravenous</w:t>
                      </w:r>
                      <w:r w:rsidR="005B0CEF" w:rsidRPr="00B47879">
                        <w:rPr>
                          <w:rFonts w:cs="Calibri"/>
                          <w:sz w:val="21"/>
                          <w:szCs w:val="21"/>
                        </w:rPr>
                        <w:t xml:space="preserve"> </w:t>
                      </w:r>
                      <w:r w:rsidR="00D456BC" w:rsidRPr="00B47879">
                        <w:rPr>
                          <w:rFonts w:cs="Calibri"/>
                          <w:sz w:val="21"/>
                          <w:szCs w:val="21"/>
                        </w:rPr>
                        <w:t>fluid (e.g. Baxter, Braun, Hospira) which gives this connector system a large advantage over “Add-Ease” which needs to be used with B. Braun fluids. This is important since IV fluids are on national shortage and we are using flui</w:t>
                      </w:r>
                      <w:r w:rsidR="004D4F87" w:rsidRPr="00B47879">
                        <w:rPr>
                          <w:rFonts w:cs="Calibri"/>
                          <w:sz w:val="21"/>
                          <w:szCs w:val="21"/>
                        </w:rPr>
                        <w:t>ds from different manufacturers currently.</w:t>
                      </w:r>
                      <w:r w:rsidR="00387DE0" w:rsidRPr="00B47879">
                        <w:rPr>
                          <w:rFonts w:cs="Calibri"/>
                          <w:sz w:val="21"/>
                          <w:szCs w:val="21"/>
                        </w:rPr>
                        <w:t xml:space="preserve"> The </w:t>
                      </w:r>
                      <w:r w:rsidR="00387DE0" w:rsidRPr="00B47879">
                        <w:rPr>
                          <w:rFonts w:cs="Calibri"/>
                          <w:i/>
                          <w:sz w:val="21"/>
                          <w:szCs w:val="21"/>
                        </w:rPr>
                        <w:t>Vial2Bag ™</w:t>
                      </w:r>
                      <w:r w:rsidR="009C367D" w:rsidRPr="00B47879">
                        <w:rPr>
                          <w:rFonts w:cs="Calibri"/>
                          <w:sz w:val="21"/>
                          <w:szCs w:val="21"/>
                        </w:rPr>
                        <w:t xml:space="preserve"> system consists of either</w:t>
                      </w:r>
                      <w:r w:rsidR="00387DE0" w:rsidRPr="00B47879">
                        <w:rPr>
                          <w:rFonts w:cs="Calibri"/>
                          <w:sz w:val="21"/>
                          <w:szCs w:val="21"/>
                        </w:rPr>
                        <w:t xml:space="preserve"> a “Blue” Connector that fits on</w:t>
                      </w:r>
                      <w:r w:rsidR="009C367D" w:rsidRPr="00B47879">
                        <w:rPr>
                          <w:rFonts w:cs="Calibri"/>
                          <w:sz w:val="21"/>
                          <w:szCs w:val="21"/>
                        </w:rPr>
                        <w:t xml:space="preserve"> a</w:t>
                      </w:r>
                      <w:r w:rsidR="00387DE0" w:rsidRPr="00B47879">
                        <w:rPr>
                          <w:rFonts w:cs="Calibri"/>
                          <w:sz w:val="21"/>
                          <w:szCs w:val="21"/>
                        </w:rPr>
                        <w:t xml:space="preserve"> </w:t>
                      </w:r>
                      <w:r w:rsidR="009C367D" w:rsidRPr="00B47879">
                        <w:rPr>
                          <w:rFonts w:cs="Calibri"/>
                          <w:sz w:val="21"/>
                          <w:szCs w:val="21"/>
                        </w:rPr>
                        <w:t>20mm vial</w:t>
                      </w:r>
                      <w:r w:rsidR="00387DE0" w:rsidRPr="00B47879">
                        <w:rPr>
                          <w:rFonts w:cs="Calibri"/>
                          <w:sz w:val="21"/>
                          <w:szCs w:val="21"/>
                        </w:rPr>
                        <w:t xml:space="preserve"> (e.g.</w:t>
                      </w:r>
                      <w:r w:rsidR="00332385" w:rsidRPr="00B47879">
                        <w:rPr>
                          <w:rFonts w:cs="Calibri"/>
                          <w:sz w:val="21"/>
                          <w:szCs w:val="21"/>
                        </w:rPr>
                        <w:t xml:space="preserve"> </w:t>
                      </w:r>
                      <w:r w:rsidR="00387DE0" w:rsidRPr="00B47879">
                        <w:rPr>
                          <w:rFonts w:cs="Calibri"/>
                          <w:sz w:val="21"/>
                          <w:szCs w:val="21"/>
                        </w:rPr>
                        <w:t>piperacillin/</w:t>
                      </w:r>
                      <w:r w:rsidR="00332385" w:rsidRPr="00B47879">
                        <w:rPr>
                          <w:rFonts w:cs="Calibri"/>
                          <w:sz w:val="21"/>
                          <w:szCs w:val="21"/>
                        </w:rPr>
                        <w:t xml:space="preserve"> </w:t>
                      </w:r>
                      <w:r w:rsidR="00387DE0" w:rsidRPr="00B47879">
                        <w:rPr>
                          <w:rFonts w:cs="Calibri"/>
                          <w:sz w:val="21"/>
                          <w:szCs w:val="21"/>
                        </w:rPr>
                        <w:t xml:space="preserve">tazobactam, vancomycin) </w:t>
                      </w:r>
                      <w:r w:rsidR="009C367D" w:rsidRPr="00B47879">
                        <w:rPr>
                          <w:rFonts w:cs="Calibri"/>
                          <w:sz w:val="21"/>
                          <w:szCs w:val="21"/>
                        </w:rPr>
                        <w:t xml:space="preserve">or </w:t>
                      </w:r>
                      <w:r w:rsidR="00387DE0" w:rsidRPr="00B47879">
                        <w:rPr>
                          <w:rFonts w:cs="Calibri"/>
                          <w:sz w:val="21"/>
                          <w:szCs w:val="21"/>
                        </w:rPr>
                        <w:t>an “orange” connector</w:t>
                      </w:r>
                      <w:r w:rsidR="009C367D" w:rsidRPr="00B47879">
                        <w:rPr>
                          <w:rFonts w:cs="Calibri"/>
                          <w:sz w:val="21"/>
                          <w:szCs w:val="21"/>
                        </w:rPr>
                        <w:t xml:space="preserve"> that fits on a smaller 13 mm vial (e.g. promethazine, norepinephrine). Currently we will start using the blue connectors first</w:t>
                      </w:r>
                      <w:r w:rsidR="00AF4869" w:rsidRPr="00B47879">
                        <w:rPr>
                          <w:rFonts w:cs="Calibri"/>
                          <w:sz w:val="21"/>
                          <w:szCs w:val="21"/>
                        </w:rPr>
                        <w:t xml:space="preserve"> as most of our drug vials are that size</w:t>
                      </w:r>
                      <w:r w:rsidR="009C367D" w:rsidRPr="00B47879">
                        <w:rPr>
                          <w:rFonts w:cs="Calibri"/>
                          <w:sz w:val="21"/>
                          <w:szCs w:val="21"/>
                        </w:rPr>
                        <w:t xml:space="preserve"> and bring in the orange connectors shortly a</w:t>
                      </w:r>
                      <w:r w:rsidR="00AF4869" w:rsidRPr="00B47879">
                        <w:rPr>
                          <w:rFonts w:cs="Calibri"/>
                          <w:sz w:val="21"/>
                          <w:szCs w:val="21"/>
                        </w:rPr>
                        <w:t>fterwards. Each connector type (blue or orange) can connect to any fluid size (50ml,100ml, 250ml) pursuant to the appropriate dilution amount.  This fluid amount should be listed on the administration instructions of each drug in the EMR system.</w:t>
                      </w:r>
                      <w:r w:rsidR="00332385" w:rsidRPr="00B47879">
                        <w:rPr>
                          <w:rFonts w:cs="Calibri"/>
                          <w:sz w:val="21"/>
                          <w:szCs w:val="21"/>
                        </w:rPr>
                        <w:t xml:space="preserve"> Once the drug is connected to the fluid and mixed according to instructions, the diluted medication should be used </w:t>
                      </w:r>
                      <w:r w:rsidR="003F26DF">
                        <w:rPr>
                          <w:rFonts w:cs="Calibri"/>
                          <w:sz w:val="21"/>
                          <w:szCs w:val="21"/>
                        </w:rPr>
                        <w:t>immediately</w:t>
                      </w:r>
                      <w:r w:rsidR="00F661F3" w:rsidRPr="00B47879">
                        <w:rPr>
                          <w:rFonts w:cs="Calibri"/>
                          <w:sz w:val="21"/>
                          <w:szCs w:val="21"/>
                        </w:rPr>
                        <w:t xml:space="preserve"> after dilution. </w:t>
                      </w:r>
                      <w:r w:rsidR="00C21129">
                        <w:rPr>
                          <w:rFonts w:cs="Calibri"/>
                          <w:sz w:val="21"/>
                          <w:szCs w:val="21"/>
                        </w:rPr>
                        <w:t>The company recommends the person</w:t>
                      </w:r>
                      <w:r w:rsidR="003F26DF">
                        <w:rPr>
                          <w:rFonts w:cs="Calibri"/>
                          <w:sz w:val="21"/>
                          <w:szCs w:val="21"/>
                        </w:rPr>
                        <w:t xml:space="preserve"> mix</w:t>
                      </w:r>
                      <w:r w:rsidR="00C21129">
                        <w:rPr>
                          <w:rFonts w:cs="Calibri"/>
                          <w:sz w:val="21"/>
                          <w:szCs w:val="21"/>
                        </w:rPr>
                        <w:t>ing</w:t>
                      </w:r>
                      <w:r w:rsidR="003F26DF">
                        <w:rPr>
                          <w:rFonts w:cs="Calibri"/>
                          <w:sz w:val="21"/>
                          <w:szCs w:val="21"/>
                        </w:rPr>
                        <w:t xml:space="preserve"> the drug also administer the drug to avoid confusion. </w:t>
                      </w:r>
                      <w:r w:rsidR="00F661F3" w:rsidRPr="00B47879">
                        <w:rPr>
                          <w:rFonts w:cs="Calibri"/>
                          <w:sz w:val="21"/>
                          <w:szCs w:val="21"/>
                        </w:rPr>
                        <w:t xml:space="preserve">Please see </w:t>
                      </w:r>
                      <w:r w:rsidR="00F661F3" w:rsidRPr="00B47879">
                        <w:rPr>
                          <w:rFonts w:cs="Calibri"/>
                          <w:b/>
                          <w:sz w:val="21"/>
                          <w:szCs w:val="21"/>
                        </w:rPr>
                        <w:t>Appendix A</w:t>
                      </w:r>
                      <w:r w:rsidR="00F661F3" w:rsidRPr="00B47879">
                        <w:rPr>
                          <w:rFonts w:cs="Calibri"/>
                          <w:sz w:val="21"/>
                          <w:szCs w:val="21"/>
                        </w:rPr>
                        <w:t xml:space="preserve"> for instructions on using </w:t>
                      </w:r>
                      <w:r w:rsidR="00F661F3" w:rsidRPr="00B47879">
                        <w:rPr>
                          <w:rFonts w:cs="Calibri"/>
                          <w:i/>
                          <w:sz w:val="21"/>
                          <w:szCs w:val="21"/>
                        </w:rPr>
                        <w:t xml:space="preserve">Vial2Bag ™ </w:t>
                      </w:r>
                      <w:r w:rsidR="00F661F3" w:rsidRPr="00B47879">
                        <w:rPr>
                          <w:rFonts w:cs="Calibri"/>
                          <w:sz w:val="21"/>
                          <w:szCs w:val="21"/>
                        </w:rPr>
                        <w:t>to help reconstitute drug and dilute in IV fluids.</w:t>
                      </w:r>
                    </w:p>
                    <w:p w:rsidR="000336A7" w:rsidRPr="00B47879" w:rsidRDefault="00E5352F" w:rsidP="005916C2">
                      <w:pPr>
                        <w:spacing w:after="0" w:line="240" w:lineRule="auto"/>
                        <w:rPr>
                          <w:rFonts w:eastAsia="Times New Roman"/>
                          <w:sz w:val="21"/>
                          <w:szCs w:val="21"/>
                        </w:rPr>
                      </w:pPr>
                      <w:r w:rsidRPr="005916C2">
                        <w:rPr>
                          <w:b/>
                          <w:i/>
                          <w:sz w:val="32"/>
                          <w:szCs w:val="32"/>
                          <w:u w:val="single"/>
                        </w:rPr>
                        <w:t>TPN Shortage</w:t>
                      </w:r>
                      <w:r w:rsidR="000336A7" w:rsidRPr="005916C2">
                        <w:rPr>
                          <w:b/>
                          <w:i/>
                          <w:sz w:val="32"/>
                          <w:szCs w:val="32"/>
                          <w:u w:val="single"/>
                        </w:rPr>
                        <w:t>:</w:t>
                      </w:r>
                      <w:r w:rsidR="000336A7" w:rsidRPr="005916C2">
                        <w:rPr>
                          <w:sz w:val="20"/>
                          <w:szCs w:val="20"/>
                        </w:rPr>
                        <w:t xml:space="preserve"> </w:t>
                      </w:r>
                      <w:r w:rsidR="000336A7" w:rsidRPr="00B47879">
                        <w:rPr>
                          <w:sz w:val="21"/>
                          <w:szCs w:val="21"/>
                        </w:rPr>
                        <w:t>There has been a critical</w:t>
                      </w:r>
                      <w:r w:rsidR="000336A7" w:rsidRPr="00B47879">
                        <w:rPr>
                          <w:rFonts w:eastAsia="Times New Roman"/>
                          <w:sz w:val="21"/>
                          <w:szCs w:val="21"/>
                        </w:rPr>
                        <w:t xml:space="preserve"> shortage of</w:t>
                      </w:r>
                      <w:r w:rsidR="008829B4" w:rsidRPr="00B47879">
                        <w:rPr>
                          <w:rFonts w:eastAsia="Times New Roman"/>
                          <w:sz w:val="21"/>
                          <w:szCs w:val="21"/>
                        </w:rPr>
                        <w:t xml:space="preserve"> all</w:t>
                      </w:r>
                      <w:r w:rsidR="000336A7" w:rsidRPr="00B47879">
                        <w:rPr>
                          <w:rFonts w:eastAsia="Times New Roman"/>
                          <w:sz w:val="21"/>
                          <w:szCs w:val="21"/>
                        </w:rPr>
                        <w:t xml:space="preserve"> </w:t>
                      </w:r>
                      <w:r w:rsidR="00EE366B" w:rsidRPr="00B47879">
                        <w:rPr>
                          <w:rFonts w:eastAsia="Times New Roman"/>
                          <w:sz w:val="21"/>
                          <w:szCs w:val="21"/>
                        </w:rPr>
                        <w:t>Total Parenteral Nutrition</w:t>
                      </w:r>
                      <w:r w:rsidR="008829B4" w:rsidRPr="00B47879">
                        <w:rPr>
                          <w:rFonts w:eastAsia="Times New Roman"/>
                          <w:sz w:val="21"/>
                          <w:szCs w:val="21"/>
                        </w:rPr>
                        <w:t xml:space="preserve"> products</w:t>
                      </w:r>
                      <w:r w:rsidR="00EE366B" w:rsidRPr="00B47879">
                        <w:rPr>
                          <w:rFonts w:eastAsia="Times New Roman"/>
                          <w:sz w:val="21"/>
                          <w:szCs w:val="21"/>
                        </w:rPr>
                        <w:t xml:space="preserve">, </w:t>
                      </w:r>
                      <w:r w:rsidR="008829B4" w:rsidRPr="00B47879">
                        <w:rPr>
                          <w:rFonts w:eastAsia="Times New Roman"/>
                          <w:sz w:val="21"/>
                          <w:szCs w:val="21"/>
                        </w:rPr>
                        <w:t xml:space="preserve">concentrated </w:t>
                      </w:r>
                      <w:r w:rsidR="000336A7" w:rsidRPr="00B47879">
                        <w:rPr>
                          <w:rFonts w:eastAsia="Times New Roman"/>
                          <w:sz w:val="21"/>
                          <w:szCs w:val="21"/>
                        </w:rPr>
                        <w:t>dextro</w:t>
                      </w:r>
                      <w:r w:rsidR="005916C2" w:rsidRPr="00B47879">
                        <w:rPr>
                          <w:rFonts w:eastAsia="Times New Roman"/>
                          <w:sz w:val="21"/>
                          <w:szCs w:val="21"/>
                        </w:rPr>
                        <w:t>se and amino acid</w:t>
                      </w:r>
                      <w:r w:rsidR="008829B4" w:rsidRPr="00B47879">
                        <w:rPr>
                          <w:rFonts w:eastAsia="Times New Roman"/>
                          <w:sz w:val="21"/>
                          <w:szCs w:val="21"/>
                        </w:rPr>
                        <w:t xml:space="preserve"> formulations </w:t>
                      </w:r>
                      <w:r w:rsidR="007D6260" w:rsidRPr="00B47879">
                        <w:rPr>
                          <w:rFonts w:eastAsia="Times New Roman"/>
                          <w:sz w:val="21"/>
                          <w:szCs w:val="21"/>
                        </w:rPr>
                        <w:t>over</w:t>
                      </w:r>
                      <w:r w:rsidR="005916C2" w:rsidRPr="00B47879">
                        <w:rPr>
                          <w:rFonts w:eastAsia="Times New Roman"/>
                          <w:sz w:val="21"/>
                          <w:szCs w:val="21"/>
                        </w:rPr>
                        <w:t xml:space="preserve"> the last few months</w:t>
                      </w:r>
                      <w:r w:rsidR="008829B4" w:rsidRPr="00B47879">
                        <w:rPr>
                          <w:rFonts w:eastAsia="Times New Roman"/>
                          <w:sz w:val="21"/>
                          <w:szCs w:val="21"/>
                        </w:rPr>
                        <w:t xml:space="preserve">. </w:t>
                      </w:r>
                      <w:r w:rsidR="007D6260" w:rsidRPr="00B47879">
                        <w:rPr>
                          <w:rFonts w:eastAsia="Times New Roman"/>
                          <w:sz w:val="21"/>
                          <w:szCs w:val="21"/>
                        </w:rPr>
                        <w:t xml:space="preserve">One of the larger </w:t>
                      </w:r>
                      <w:r w:rsidR="00B47879" w:rsidRPr="00B47879">
                        <w:rPr>
                          <w:rFonts w:eastAsia="Times New Roman"/>
                          <w:sz w:val="21"/>
                          <w:szCs w:val="21"/>
                        </w:rPr>
                        <w:t xml:space="preserve">TPN </w:t>
                      </w:r>
                      <w:r w:rsidR="003F26DF">
                        <w:rPr>
                          <w:rFonts w:eastAsia="Times New Roman"/>
                          <w:sz w:val="21"/>
                          <w:szCs w:val="21"/>
                        </w:rPr>
                        <w:t>suppliers</w:t>
                      </w:r>
                      <w:r w:rsidR="007D6260" w:rsidRPr="00B47879">
                        <w:rPr>
                          <w:rFonts w:eastAsia="Times New Roman"/>
                          <w:sz w:val="21"/>
                          <w:szCs w:val="21"/>
                        </w:rPr>
                        <w:t xml:space="preserve"> was affected by the recent hurricane in Puerto Rico</w:t>
                      </w:r>
                      <w:r w:rsidR="00B47879" w:rsidRPr="00B47879">
                        <w:rPr>
                          <w:rFonts w:eastAsia="Times New Roman"/>
                          <w:sz w:val="21"/>
                          <w:szCs w:val="21"/>
                        </w:rPr>
                        <w:t xml:space="preserve"> which greatly affected availability</w:t>
                      </w:r>
                      <w:r w:rsidR="007D6260" w:rsidRPr="00B47879">
                        <w:rPr>
                          <w:rFonts w:eastAsia="Times New Roman"/>
                          <w:sz w:val="21"/>
                          <w:szCs w:val="21"/>
                        </w:rPr>
                        <w:t>. MHS has been able to provide TPN to patients over the</w:t>
                      </w:r>
                      <w:r w:rsidR="00B47879" w:rsidRPr="00B47879">
                        <w:rPr>
                          <w:rFonts w:eastAsia="Times New Roman"/>
                          <w:sz w:val="21"/>
                          <w:szCs w:val="21"/>
                        </w:rPr>
                        <w:t xml:space="preserve"> last few months fortunately due to the small number of patients requiring TPN at our facility. Unfortunately, our supply of TPN is reaching the point where we may run out very soon. Please follow the guidelines below to help conserve.</w:t>
                      </w:r>
                      <w:r w:rsidR="008829B4" w:rsidRPr="00B47879">
                        <w:rPr>
                          <w:rFonts w:eastAsia="Times New Roman"/>
                          <w:sz w:val="21"/>
                          <w:szCs w:val="21"/>
                        </w:rPr>
                        <w:t xml:space="preserve"> </w:t>
                      </w:r>
                    </w:p>
                    <w:p w:rsidR="000336A7" w:rsidRPr="000336A7" w:rsidRDefault="000336A7" w:rsidP="000336A7">
                      <w:pPr>
                        <w:spacing w:before="100" w:beforeAutospacing="1" w:after="30" w:line="240" w:lineRule="auto"/>
                        <w:ind w:left="720"/>
                        <w:rPr>
                          <w:rFonts w:asciiTheme="minorHAnsi" w:hAnsiTheme="minorHAnsi"/>
                          <w:sz w:val="20"/>
                          <w:szCs w:val="20"/>
                        </w:rPr>
                      </w:pPr>
                      <w:r w:rsidRPr="000336A7">
                        <w:rPr>
                          <w:rFonts w:eastAsia="Times New Roman"/>
                        </w:rPr>
                        <w:t xml:space="preserve"> </w:t>
                      </w:r>
                      <w:r w:rsidRPr="000336A7">
                        <w:rPr>
                          <w:rFonts w:ascii="Times New Roman" w:hAnsi="Times New Roman"/>
                        </w:rPr>
                        <w:t>●</w:t>
                      </w:r>
                      <w:r w:rsidRPr="000336A7">
                        <w:rPr>
                          <w:rFonts w:asciiTheme="minorHAnsi" w:hAnsiTheme="minorHAnsi" w:cs="Helvetica"/>
                          <w:sz w:val="20"/>
                          <w:szCs w:val="20"/>
                        </w:rPr>
                        <w:t>For patients without contraindications to enteral nutrition, begin early enteral feeding (</w:t>
                      </w:r>
                      <w:r w:rsidR="00B86B83" w:rsidRPr="000336A7">
                        <w:rPr>
                          <w:rFonts w:asciiTheme="minorHAnsi" w:hAnsiTheme="minorHAnsi" w:cs="Helvetica"/>
                          <w:sz w:val="20"/>
                          <w:szCs w:val="20"/>
                        </w:rPr>
                        <w:t>e.</w:t>
                      </w:r>
                      <w:r w:rsidR="00B86B83">
                        <w:rPr>
                          <w:rFonts w:asciiTheme="minorHAnsi" w:hAnsiTheme="minorHAnsi" w:cs="Helvetica"/>
                          <w:sz w:val="20"/>
                          <w:szCs w:val="20"/>
                        </w:rPr>
                        <w:t>g.</w:t>
                      </w:r>
                      <w:r w:rsidRPr="000336A7">
                        <w:rPr>
                          <w:rFonts w:asciiTheme="minorHAnsi" w:hAnsiTheme="minorHAnsi" w:cs="Helvetica"/>
                          <w:sz w:val="20"/>
                          <w:szCs w:val="20"/>
                        </w:rPr>
                        <w:t>, within 48 hours) because the potential benefits of early enteral feeding (</w:t>
                      </w:r>
                      <w:r w:rsidR="00B86B83" w:rsidRPr="000336A7">
                        <w:rPr>
                          <w:rFonts w:asciiTheme="minorHAnsi" w:hAnsiTheme="minorHAnsi" w:cs="Helvetica"/>
                          <w:sz w:val="20"/>
                          <w:szCs w:val="20"/>
                        </w:rPr>
                        <w:t>e.g.</w:t>
                      </w:r>
                      <w:r w:rsidRPr="000336A7">
                        <w:rPr>
                          <w:rFonts w:asciiTheme="minorHAnsi" w:hAnsiTheme="minorHAnsi" w:cs="Helvetica"/>
                          <w:sz w:val="20"/>
                          <w:szCs w:val="20"/>
                        </w:rPr>
                        <w:t xml:space="preserve">, fewer infections, possibly lower mortality) outweigh its risks. During the first week of critical illness, avoid exceeding 20 to 30 percent of feeding goal, unless the patient is quite stable. </w:t>
                      </w:r>
                    </w:p>
                    <w:p w:rsidR="00B47879" w:rsidRDefault="000336A7" w:rsidP="00B47879">
                      <w:pPr>
                        <w:spacing w:before="100" w:beforeAutospacing="1" w:after="30" w:line="240" w:lineRule="auto"/>
                        <w:ind w:left="720"/>
                        <w:rPr>
                          <w:rFonts w:asciiTheme="minorHAnsi" w:hAnsiTheme="minorHAnsi" w:cs="Calibri"/>
                          <w:sz w:val="20"/>
                          <w:szCs w:val="20"/>
                        </w:rPr>
                      </w:pPr>
                      <w:r w:rsidRPr="000336A7">
                        <w:rPr>
                          <w:rFonts w:asciiTheme="minorHAnsi" w:hAnsiTheme="minorHAnsi"/>
                          <w:sz w:val="20"/>
                          <w:szCs w:val="20"/>
                        </w:rPr>
                        <w:t>●</w:t>
                      </w:r>
                      <w:r w:rsidRPr="000336A7">
                        <w:rPr>
                          <w:rFonts w:asciiTheme="minorHAnsi" w:hAnsiTheme="minorHAnsi" w:cs="Helvetica"/>
                          <w:sz w:val="20"/>
                          <w:szCs w:val="20"/>
                        </w:rPr>
                        <w:t>For adequately nourished patients who have contraindications or intolerance to enteral nutrition, avoid initiating early parenteral nutrition and avoid feeding parenterally before one to two weeks have elapsed. This reflects the evidence that early parenteral nutrition may increase the risk of infection and prolong mechanical ventilation, intensive care unit (ICU) stay, and hospital stay.</w:t>
                      </w:r>
                    </w:p>
                    <w:p w:rsidR="000336A7" w:rsidRPr="000336A7" w:rsidRDefault="000336A7" w:rsidP="00B47879">
                      <w:pPr>
                        <w:spacing w:before="100" w:beforeAutospacing="1" w:after="30" w:line="240" w:lineRule="auto"/>
                        <w:ind w:left="720"/>
                        <w:rPr>
                          <w:rFonts w:asciiTheme="minorHAnsi" w:hAnsiTheme="minorHAnsi" w:cs="Calibri"/>
                          <w:sz w:val="20"/>
                          <w:szCs w:val="20"/>
                        </w:rPr>
                      </w:pPr>
                      <w:r w:rsidRPr="000336A7">
                        <w:rPr>
                          <w:rFonts w:asciiTheme="minorHAnsi" w:hAnsiTheme="minorHAnsi"/>
                          <w:sz w:val="20"/>
                          <w:szCs w:val="20"/>
                        </w:rPr>
                        <w:t>●</w:t>
                      </w:r>
                      <w:r w:rsidRPr="000336A7">
                        <w:rPr>
                          <w:rFonts w:asciiTheme="minorHAnsi" w:hAnsiTheme="minorHAnsi" w:cs="Helvetica"/>
                          <w:sz w:val="20"/>
                          <w:szCs w:val="20"/>
                        </w:rPr>
                        <w:t>For inadequately nourished patients who have contraindications to enteral nutrition that are expected to persist for a week or more, consider initiating parenteral nutrition within the first few days. The effects of parenteral nutrition in such patients are unknown; however, the rationale is that failure to treat the malnourishment will result in a progressive caloric deficit, which is associated with increased morbidity. Supplemental PN may be administered to patients receiving enteral nutrition but chronically unable to meet their needs by a significant margin. This, however, does not apply to patients during at least the first week of ICU care.</w:t>
                      </w:r>
                      <w:r w:rsidR="00B47879" w:rsidRPr="00B47879">
                        <w:rPr>
                          <w:rFonts w:asciiTheme="minorHAnsi" w:eastAsia="Times New Roman" w:hAnsiTheme="minorHAnsi"/>
                        </w:rPr>
                        <w:t xml:space="preserve"> </w:t>
                      </w:r>
                    </w:p>
                    <w:p w:rsidR="00B47879" w:rsidRDefault="00B47879" w:rsidP="000336A7">
                      <w:pPr>
                        <w:spacing w:after="0" w:line="240" w:lineRule="auto"/>
                        <w:ind w:left="180"/>
                        <w:contextualSpacing/>
                        <w:rPr>
                          <w:rFonts w:eastAsia="Times New Roman"/>
                          <w:sz w:val="20"/>
                          <w:szCs w:val="20"/>
                        </w:rPr>
                      </w:pPr>
                    </w:p>
                    <w:p w:rsidR="000336A7" w:rsidRPr="000336A7" w:rsidRDefault="00B47879" w:rsidP="000336A7">
                      <w:pPr>
                        <w:spacing w:after="0" w:line="240" w:lineRule="auto"/>
                        <w:ind w:left="180"/>
                        <w:contextualSpacing/>
                        <w:rPr>
                          <w:rFonts w:eastAsia="Times New Roman"/>
                          <w:sz w:val="21"/>
                          <w:szCs w:val="21"/>
                        </w:rPr>
                      </w:pPr>
                      <w:r>
                        <w:rPr>
                          <w:rFonts w:eastAsia="Times New Roman"/>
                          <w:sz w:val="21"/>
                          <w:szCs w:val="21"/>
                        </w:rPr>
                        <w:t xml:space="preserve">Pharmacy is also conserving TPN when consulted by </w:t>
                      </w:r>
                      <w:r w:rsidR="000336A7" w:rsidRPr="000336A7">
                        <w:rPr>
                          <w:rFonts w:eastAsia="Times New Roman"/>
                          <w:sz w:val="21"/>
                          <w:szCs w:val="21"/>
                        </w:rPr>
                        <w:t>rounding</w:t>
                      </w:r>
                      <w:r w:rsidR="00A135A8">
                        <w:rPr>
                          <w:rFonts w:eastAsia="Times New Roman"/>
                          <w:sz w:val="21"/>
                          <w:szCs w:val="21"/>
                        </w:rPr>
                        <w:t xml:space="preserve"> the patient’s nutritional goal</w:t>
                      </w:r>
                      <w:r w:rsidR="000336A7" w:rsidRPr="000336A7">
                        <w:rPr>
                          <w:rFonts w:eastAsia="Times New Roman"/>
                          <w:sz w:val="21"/>
                          <w:szCs w:val="21"/>
                        </w:rPr>
                        <w:t xml:space="preserve"> to the </w:t>
                      </w:r>
                      <w:r>
                        <w:rPr>
                          <w:rFonts w:eastAsia="Times New Roman"/>
                          <w:sz w:val="21"/>
                          <w:szCs w:val="21"/>
                        </w:rPr>
                        <w:t xml:space="preserve">nearest bag size (e.g. 2Liters) instead of </w:t>
                      </w:r>
                      <w:r w:rsidR="00A135A8">
                        <w:rPr>
                          <w:rFonts w:eastAsia="Times New Roman"/>
                          <w:sz w:val="21"/>
                          <w:szCs w:val="21"/>
                        </w:rPr>
                        <w:t>a specific goal rate</w:t>
                      </w:r>
                      <w:r>
                        <w:rPr>
                          <w:rFonts w:eastAsia="Times New Roman"/>
                          <w:sz w:val="21"/>
                          <w:szCs w:val="21"/>
                        </w:rPr>
                        <w:t>.</w:t>
                      </w:r>
                      <w:r w:rsidR="00A135A8">
                        <w:rPr>
                          <w:rFonts w:eastAsia="Times New Roman"/>
                          <w:sz w:val="21"/>
                          <w:szCs w:val="21"/>
                        </w:rPr>
                        <w:t xml:space="preserve"> Other potential interventions include changing the han</w:t>
                      </w:r>
                      <w:bookmarkStart w:id="1" w:name="_GoBack"/>
                      <w:bookmarkEnd w:id="1"/>
                      <w:r w:rsidR="00A135A8">
                        <w:rPr>
                          <w:rFonts w:eastAsia="Times New Roman"/>
                          <w:sz w:val="21"/>
                          <w:szCs w:val="21"/>
                        </w:rPr>
                        <w:t xml:space="preserve">g time of TPN so that the bag does not waste if the nutritional goals cannot be rounded to the nearest bag size. Specific instructions will be provided by pharmacy if the </w:t>
                      </w:r>
                      <w:r w:rsidR="003F26DF">
                        <w:rPr>
                          <w:rFonts w:eastAsia="Times New Roman"/>
                          <w:sz w:val="21"/>
                          <w:szCs w:val="21"/>
                        </w:rPr>
                        <w:t xml:space="preserve">TPN </w:t>
                      </w:r>
                      <w:r w:rsidR="00A135A8">
                        <w:rPr>
                          <w:rFonts w:eastAsia="Times New Roman"/>
                          <w:sz w:val="21"/>
                          <w:szCs w:val="21"/>
                        </w:rPr>
                        <w:t xml:space="preserve">hang time is changed. </w:t>
                      </w:r>
                    </w:p>
                    <w:p w:rsidR="000336A7" w:rsidRPr="000336A7" w:rsidRDefault="000336A7" w:rsidP="000336A7">
                      <w:pPr>
                        <w:spacing w:after="0" w:line="240" w:lineRule="auto"/>
                        <w:ind w:left="180"/>
                        <w:contextualSpacing/>
                        <w:rPr>
                          <w:rFonts w:eastAsia="Times New Roman"/>
                          <w:sz w:val="21"/>
                          <w:szCs w:val="21"/>
                        </w:rPr>
                      </w:pPr>
                    </w:p>
                    <w:p w:rsidR="00F661F3" w:rsidRPr="00E5352F" w:rsidRDefault="00F661F3" w:rsidP="000F02D3">
                      <w:pPr>
                        <w:rPr>
                          <w:sz w:val="32"/>
                          <w:szCs w:val="32"/>
                        </w:rPr>
                      </w:pPr>
                    </w:p>
                    <w:p w:rsidR="00AF4869" w:rsidRPr="00AF4869" w:rsidRDefault="00AF4869" w:rsidP="000F02D3">
                      <w:pPr>
                        <w:rPr>
                          <w:rFonts w:cs="Calibri"/>
                          <w:sz w:val="24"/>
                          <w:szCs w:val="24"/>
                        </w:rPr>
                      </w:pPr>
                    </w:p>
                    <w:p w:rsidR="005F21B9" w:rsidRPr="000F02D3" w:rsidRDefault="005F21B9" w:rsidP="000F02D3">
                      <w:pPr>
                        <w:rPr>
                          <w:sz w:val="20"/>
                          <w:szCs w:val="20"/>
                        </w:rPr>
                      </w:pPr>
                    </w:p>
                    <w:p w:rsidR="001773A3" w:rsidRPr="0007290A" w:rsidRDefault="001773A3" w:rsidP="00BE43EA">
                      <w:pPr>
                        <w:rPr>
                          <w:rFonts w:ascii="Arial" w:hAnsi="Arial" w:cs="Arial"/>
                          <w:sz w:val="20"/>
                          <w:szCs w:val="20"/>
                        </w:rPr>
                      </w:pPr>
                    </w:p>
                    <w:p w:rsidR="001773A3" w:rsidRPr="0007290A" w:rsidRDefault="000C4F60" w:rsidP="001773A3">
                      <w:pPr>
                        <w:rPr>
                          <w:rFonts w:ascii="Arial" w:hAnsi="Arial" w:cs="Arial"/>
                          <w:sz w:val="20"/>
                          <w:szCs w:val="20"/>
                        </w:rPr>
                      </w:pPr>
                      <w:r>
                        <w:rPr>
                          <w:rFonts w:ascii="Arial" w:hAnsi="Arial" w:cs="Arial"/>
                          <w:sz w:val="20"/>
                          <w:szCs w:val="20"/>
                        </w:rPr>
                        <w:t xml:space="preserve">                                                                                                                                                     </w:t>
                      </w:r>
                    </w:p>
                    <w:p w:rsidR="001B2F9F" w:rsidRPr="0007290A" w:rsidRDefault="00720717" w:rsidP="00D11160">
                      <w:pPr>
                        <w:rPr>
                          <w:rFonts w:ascii="Arial" w:hAnsi="Arial" w:cs="Arial"/>
                          <w:sz w:val="20"/>
                          <w:szCs w:val="20"/>
                        </w:rPr>
                      </w:pPr>
                      <w:r w:rsidRPr="0007290A">
                        <w:rPr>
                          <w:rFonts w:ascii="Arial" w:hAnsi="Arial" w:cs="Arial"/>
                          <w:sz w:val="20"/>
                          <w:szCs w:val="20"/>
                        </w:rPr>
                        <w:t xml:space="preserve">. </w:t>
                      </w:r>
                      <w:r w:rsidR="001B2F9F" w:rsidRPr="0007290A">
                        <w:rPr>
                          <w:rFonts w:ascii="Arial" w:hAnsi="Arial" w:cs="Arial"/>
                          <w:sz w:val="20"/>
                          <w:szCs w:val="20"/>
                        </w:rPr>
                        <w:t xml:space="preserve"> </w:t>
                      </w:r>
                    </w:p>
                    <w:p w:rsidR="001B2F9F" w:rsidRPr="0007290A" w:rsidRDefault="001B2F9F" w:rsidP="00D11160">
                      <w:pPr>
                        <w:rPr>
                          <w:rFonts w:ascii="Arial" w:hAnsi="Arial" w:cs="Arial"/>
                          <w:sz w:val="18"/>
                          <w:szCs w:val="18"/>
                        </w:rPr>
                      </w:pPr>
                    </w:p>
                    <w:p w:rsidR="0093697B" w:rsidRDefault="0093697B" w:rsidP="00054518">
                      <w:pPr>
                        <w:autoSpaceDE w:val="0"/>
                        <w:autoSpaceDN w:val="0"/>
                        <w:adjustRightInd w:val="0"/>
                        <w:spacing w:after="0" w:line="240" w:lineRule="auto"/>
                        <w:rPr>
                          <w:sz w:val="28"/>
                          <w:szCs w:val="28"/>
                        </w:rPr>
                      </w:pPr>
                    </w:p>
                    <w:p w:rsidR="00A95B6C" w:rsidRPr="00A95B6C" w:rsidRDefault="0093697B" w:rsidP="00054518">
                      <w:pPr>
                        <w:autoSpaceDE w:val="0"/>
                        <w:autoSpaceDN w:val="0"/>
                        <w:adjustRightInd w:val="0"/>
                        <w:spacing w:after="0" w:line="240" w:lineRule="auto"/>
                        <w:rPr>
                          <w:rFonts w:eastAsia="Times New Roman"/>
                          <w:color w:val="000000"/>
                          <w:kern w:val="28"/>
                          <w:sz w:val="20"/>
                          <w:szCs w:val="20"/>
                          <w14:cntxtAlts/>
                        </w:rPr>
                      </w:pPr>
                      <w:r>
                        <w:rPr>
                          <w:sz w:val="28"/>
                          <w:szCs w:val="28"/>
                        </w:rPr>
                        <w:t xml:space="preserve"> </w:t>
                      </w:r>
                      <w:r w:rsidR="009D7045">
                        <w:rPr>
                          <w:b/>
                          <w:i/>
                          <w:sz w:val="28"/>
                          <w:szCs w:val="28"/>
                          <w:u w:val="single"/>
                        </w:rPr>
                        <w:t xml:space="preserve"> </w:t>
                      </w:r>
                    </w:p>
                    <w:p w:rsidR="00A95B6C" w:rsidRDefault="00A95B6C" w:rsidP="00054518">
                      <w:pPr>
                        <w:widowControl w:val="0"/>
                        <w:spacing w:after="120" w:line="240" w:lineRule="auto"/>
                        <w:ind w:left="360" w:hanging="360"/>
                        <w:rPr>
                          <w:rFonts w:eastAsia="Times New Roman"/>
                          <w:color w:val="000000"/>
                          <w:kern w:val="28"/>
                          <w:sz w:val="20"/>
                          <w:szCs w:val="20"/>
                          <w14:cntxtAlts/>
                        </w:rPr>
                      </w:pPr>
                      <w:r w:rsidRPr="00A95B6C">
                        <w:rPr>
                          <w:rFonts w:eastAsia="Times New Roman"/>
                          <w:b/>
                          <w:bCs/>
                          <w:color w:val="000000"/>
                          <w:kern w:val="28"/>
                          <w:sz w:val="32"/>
                          <w:szCs w:val="32"/>
                          <w14:cntxtAlts/>
                        </w:rPr>
                        <w:tab/>
                      </w:r>
                    </w:p>
                    <w:p w:rsidR="00A95B6C" w:rsidRPr="00A95B6C" w:rsidRDefault="00A95B6C" w:rsidP="00A95B6C">
                      <w:pPr>
                        <w:widowControl w:val="0"/>
                        <w:spacing w:after="120" w:line="285" w:lineRule="auto"/>
                        <w:rPr>
                          <w:rFonts w:eastAsia="Times New Roman"/>
                          <w:color w:val="000000"/>
                          <w:kern w:val="28"/>
                          <w:sz w:val="21"/>
                          <w:szCs w:val="21"/>
                          <w14:cntxtAlts/>
                        </w:rPr>
                      </w:pPr>
                      <w:r w:rsidRPr="00A95B6C">
                        <w:rPr>
                          <w:rFonts w:eastAsia="Times New Roman"/>
                          <w:color w:val="000000"/>
                          <w:kern w:val="28"/>
                          <w:sz w:val="21"/>
                          <w:szCs w:val="21"/>
                          <w14:cntxtAlts/>
                        </w:rPr>
                        <w:t> </w:t>
                      </w:r>
                    </w:p>
                    <w:p w:rsidR="00A95B6C" w:rsidRDefault="00A95B6C" w:rsidP="0010555E">
                      <w:pPr>
                        <w:pStyle w:val="ListParagraph"/>
                        <w:spacing w:after="0" w:line="240" w:lineRule="auto"/>
                        <w:ind w:left="0"/>
                        <w:rPr>
                          <w:rFonts w:cs="Arial"/>
                          <w:sz w:val="21"/>
                          <w:szCs w:val="21"/>
                        </w:rPr>
                      </w:pPr>
                    </w:p>
                    <w:p w:rsidR="004976F0" w:rsidRPr="00C313BE" w:rsidRDefault="004976F0" w:rsidP="0010555E">
                      <w:pPr>
                        <w:pStyle w:val="ListParagraph"/>
                        <w:spacing w:after="0" w:line="240" w:lineRule="auto"/>
                        <w:ind w:left="0"/>
                        <w:rPr>
                          <w:rFonts w:cs="Arial"/>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Default="004976F0" w:rsidP="0010555E">
                      <w:pPr>
                        <w:pStyle w:val="ListParagraph"/>
                        <w:spacing w:after="0" w:line="240" w:lineRule="auto"/>
                        <w:ind w:left="0"/>
                        <w:rPr>
                          <w:rFonts w:cs="Arial"/>
                          <w:sz w:val="20"/>
                          <w:szCs w:val="20"/>
                        </w:rPr>
                      </w:pPr>
                    </w:p>
                    <w:p w:rsidR="004976F0" w:rsidRPr="00EA07FF" w:rsidRDefault="004976F0" w:rsidP="0010555E">
                      <w:pPr>
                        <w:pStyle w:val="ListParagraph"/>
                        <w:spacing w:after="0" w:line="240" w:lineRule="auto"/>
                        <w:ind w:left="0"/>
                        <w:rPr>
                          <w:rFonts w:cs="Arial"/>
                          <w:sz w:val="20"/>
                          <w:szCs w:val="20"/>
                        </w:rPr>
                      </w:pPr>
                    </w:p>
                    <w:p w:rsidR="004976F0" w:rsidRPr="005E39B7" w:rsidRDefault="004976F0" w:rsidP="0010555E">
                      <w:pPr>
                        <w:pStyle w:val="ListParagraph"/>
                        <w:spacing w:after="0" w:line="240" w:lineRule="auto"/>
                        <w:ind w:left="0"/>
                        <w:rPr>
                          <w:rFonts w:cs="Arial"/>
                        </w:rPr>
                      </w:pPr>
                    </w:p>
                  </w:txbxContent>
                </v:textbox>
              </v:shape>
            </w:pict>
          </mc:Fallback>
        </mc:AlternateContent>
      </w:r>
    </w:p>
    <w:p w:rsidR="0023287E" w:rsidRDefault="003C4F80" w:rsidP="00661B50">
      <w:pPr>
        <w:pStyle w:val="NoSpacing"/>
        <w:jc w:val="center"/>
        <w:rPr>
          <w:rFonts w:ascii="Harrington" w:hAnsi="Harrington"/>
          <w:sz w:val="24"/>
          <w:szCs w:val="24"/>
        </w:rPr>
      </w:pPr>
      <w:r>
        <w:rPr>
          <w:sz w:val="16"/>
          <w:szCs w:val="16"/>
        </w:rPr>
        <w:t xml:space="preserve"> </w:t>
      </w:r>
    </w:p>
    <w:p w:rsidR="0023287E" w:rsidRDefault="00FC6402" w:rsidP="00661B50">
      <w:pPr>
        <w:pStyle w:val="NoSpacing"/>
        <w:jc w:val="center"/>
        <w:rPr>
          <w:rFonts w:ascii="Harrington" w:hAnsi="Harrington"/>
          <w:sz w:val="24"/>
          <w:szCs w:val="24"/>
        </w:rPr>
      </w:pPr>
      <w:r>
        <w:rPr>
          <w:noProof/>
        </w:rPr>
        <mc:AlternateContent>
          <mc:Choice Requires="wpg">
            <w:drawing>
              <wp:anchor distT="0" distB="0" distL="114300" distR="114300" simplePos="0" relativeHeight="251659776" behindDoc="0" locked="0" layoutInCell="1" allowOverlap="1" wp14:anchorId="6EFB3C9D" wp14:editId="37513A10">
                <wp:simplePos x="0" y="0"/>
                <wp:positionH relativeFrom="column">
                  <wp:posOffset>5676900</wp:posOffset>
                </wp:positionH>
                <wp:positionV relativeFrom="paragraph">
                  <wp:posOffset>37465</wp:posOffset>
                </wp:positionV>
                <wp:extent cx="1600200" cy="2757805"/>
                <wp:effectExtent l="0" t="0" r="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757805"/>
                          <a:chOff x="9321" y="3678"/>
                          <a:chExt cx="2520" cy="4343"/>
                        </a:xfrm>
                      </wpg:grpSpPr>
                      <wps:wsp>
                        <wps:cNvPr id="6" name="Cloud Callout 6"/>
                        <wps:cNvSpPr>
                          <a:spLocks noChangeArrowheads="1"/>
                        </wps:cNvSpPr>
                        <wps:spPr bwMode="auto">
                          <a:xfrm>
                            <a:off x="10077" y="3678"/>
                            <a:ext cx="1494" cy="1182"/>
                          </a:xfrm>
                          <a:prstGeom prst="cloudCallout">
                            <a:avLst>
                              <a:gd name="adj1" fmla="val -60602"/>
                              <a:gd name="adj2" fmla="val 110597"/>
                            </a:avLst>
                          </a:prstGeom>
                          <a:solidFill>
                            <a:srgbClr val="FFFFFF"/>
                          </a:solidFill>
                          <a:ln w="12700">
                            <a:solidFill>
                              <a:srgbClr val="000000"/>
                            </a:solidFill>
                            <a:round/>
                            <a:headEnd/>
                            <a:tailEnd/>
                          </a:ln>
                        </wps:spPr>
                        <wps:txb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9321" y="4860"/>
                            <a:ext cx="2520"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B3C9D" id="Group 3" o:spid="_x0000_s1027" style="position:absolute;left:0;text-align:left;margin-left:447pt;margin-top:2.95pt;width:126pt;height:217.15pt;z-index:251659776" coordorigin="9321,3678" coordsize="252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2tuAMAADMKAAAOAAAAZHJzL2Uyb0RvYy54bWy8Vtlu3DYUfS/QfyD4LkvUaIflwJ7FKOA2&#10;AZJ8AEeillYiVZJjjVv033tJSeMZN26DGM08aEiRvMs59x7q+t2x79Ajk6oVPMfkysOI8UKULa9z&#10;/PnTzkkwUpryknaCsxw/MYXf3fz4w/U4ZMwXjehKJhEY4Sobhxw3Wg+Z66qiYT1VV2JgHBYrIXuq&#10;YSprt5R0BOt95/qeF7mjkOUgRcGUgrebaRHfWPtVxQr9vqoU06jLMcSm7VPa59483ZtrmtWSDk1b&#10;zGHQb4iipy0HpydTG6opOsj2H6b6tpBCiUpfFaJ3RVW1BbM5QDbEe5HNvRSHweZSZ2M9nGACaF/g&#10;9M1mi18eP0jUljkOMeK0B4qsV7Qy0IxDncGOezl8HD7IKT8YPojiNwXL7st1M6+nzWg//ixKMEcP&#10;WlhojpXsjQlIGh0tA08nBthRowJeksjzgFaMCljz4zBOvHDiqGiASHMuXfkEI1heRXGyrG3n837o&#10;z4eDVWBTcGk2ObbBzsGZzKDe1DOk6m2QfmzowCxTygA2QxotkK47cSjRmnbwr1E0QWt3LriqCVTE&#10;xbqhvGa3UoqxYbSEwIjZD+GfHTATBZT8J8rE8+L4BVwnsIM0mJAmJPGtkwUsmg1S6XsmemQGOS5M&#10;BnMClk36+KC0rYhyrhta/grEVH0HDfRIO+REXuRZs9AWZ5v8802EeGEaz75nm0DZ4t04UKJry13b&#10;dXYi6/26kwgc5Hhnf/Phi20dRyMA58dQS/9uw7O/L9mA5uOl1QfDw3Yea9p20xjC7PhMjOFiKip9&#10;3B9tP1nWDE97UT4BU1JM4gNiCYNGyD8wGkF4cqx+P1DJMOp+4sB2SoLAKJWdBGFsClqer+zPVygv&#10;wBTwoyVG02StJ307DLKtG/BFLARc3EInVq1eimmKa04AeuE7NQVU46Qzn0wd3okjsh1+Vt5IH+H1&#10;Evf/1RknHQmSaL4HlsZ4VpEViabue7UxJFwxzw1hsL2sXi5M6doyMtVCs9OLuX5oBm7nXjIB2Fvj&#10;z9RLt8k2CZzAj7ZO4G02zu1uHTjRjsThZrVZrzfkL+OXBFnTliXjxs1yg5Hg6+Rsvkunu+d0h110&#10;kvqahnMvw7AgQC4m3bOUiB94d37q7KIkdoJdEDpp7CWOR9K7NPJAjDa7y5QeWs7enpJRgjT0Q8vS&#10;67m9LgR9q+EbpWv7HCcntaDZa6pwYsSE/wwF0L0QbbX8C5JhxfK7SYZ+u2DYOxW+TGyW81eU+fQ5&#10;n8P4/Fvv5m8AAAD//wMAUEsDBBQABgAIAAAAIQCKH8f04QAAAAoBAAAPAAAAZHJzL2Rvd25yZXYu&#10;eG1sTI9Ba8JAEIXvhf6HZQq91U1sFI2ZiEjbkxSqheJtzY5JMDsbsmsS/33XU3t884b3vpetR9OI&#10;njpXW0aIJxEI4sLqmkuE78P7ywKE84q1aiwTwo0crPPHh0yl2g78Rf3elyKEsEsVQuV9m0rpioqM&#10;chPbEgfvbDujfJBdKXWnhhBuGjmNork0qubQUKmWthUVl/3VIHwMati8xm/97nLe3o6H2efPLibE&#10;56dxswLhafR/z3DHD+iQB6aTvbJ2okFYLJOwxSPMliDufpzMw+GEkCTRFGSeyf8T8l8AAAD//wMA&#10;UEsBAi0AFAAGAAgAAAAhALaDOJL+AAAA4QEAABMAAAAAAAAAAAAAAAAAAAAAAFtDb250ZW50X1R5&#10;cGVzXS54bWxQSwECLQAUAAYACAAAACEAOP0h/9YAAACUAQAACwAAAAAAAAAAAAAAAAAvAQAAX3Jl&#10;bHMvLnJlbHNQSwECLQAUAAYACAAAACEAhdK9rbgDAAAzCgAADgAAAAAAAAAAAAAAAAAuAgAAZHJz&#10;L2Uyb0RvYy54bWxQSwECLQAUAAYACAAAACEAih/H9OEAAAAKAQAADwAAAAAAAAAAAAAAAAASBgAA&#10;ZHJzL2Rvd25yZXYueG1sUEsFBgAAAAAEAAQA8wAAACAH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style="position:absolute;left:10077;top:3678;width:1494;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C5wwAAANoAAAAPAAAAZHJzL2Rvd25yZXYueG1sRI9Ba8JA&#10;FITvBf/D8oTe6iaBSo1uQpC2tL1VRa/P7DMJZt+G7DYm/75bKHgcZuYbZpOPphUD9a6xrCBeRCCI&#10;S6sbrhQc9m9PLyCcR9bYWiYFEznIs9nDBlNtb/xNw85XIkDYpaig9r5LpXRlTQbdwnbEwbvY3qAP&#10;sq+k7vEW4KaVSRQtpcGGw0KNHW1rKq+7H6NgnJLiPYk/Xwd+dtPXKj4W51Oi1ON8LNYgPI3+Hv5v&#10;f2gFS/i7Em6AzH4BAAD//wMAUEsBAi0AFAAGAAgAAAAhANvh9svuAAAAhQEAABMAAAAAAAAAAAAA&#10;AAAAAAAAAFtDb250ZW50X1R5cGVzXS54bWxQSwECLQAUAAYACAAAACEAWvQsW78AAAAVAQAACwAA&#10;AAAAAAAAAAAAAAAfAQAAX3JlbHMvLnJlbHNQSwECLQAUAAYACAAAACEAGwlQucMAAADaAAAADwAA&#10;AAAAAAAAAAAAAAAHAgAAZHJzL2Rvd25yZXYueG1sUEsFBgAAAAADAAMAtwAAAPcCAAAAAA==&#10;" adj="-2290,34689" strokeweight="1pt">
                  <v:textbox>
                    <w:txbxContent>
                      <w:p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v:textbox>
                </v:shape>
                <v:shape id="Text Box 5" o:spid="_x0000_s1029" type="#_x0000_t202" style="position:absolute;left:9321;top:4860;width:252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p>
                      <w:p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5CB4DA4A" wp14:editId="2127433E">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rsidR="004976F0" w:rsidRDefault="004976F0" w:rsidP="004B06A6">
                        <w:pPr>
                          <w:pStyle w:val="NoSpacing"/>
                          <w:rPr>
                            <w:rFonts w:ascii="Harrington" w:hAnsi="Harrington"/>
                            <w:sz w:val="24"/>
                            <w:szCs w:val="24"/>
                          </w:rPr>
                        </w:pPr>
                      </w:p>
                      <w:p w:rsidR="004976F0" w:rsidRPr="007E0E2C" w:rsidRDefault="004976F0" w:rsidP="007E0E2C">
                        <w:pPr>
                          <w:pStyle w:val="NoSpacing"/>
                          <w:rPr>
                            <w:rFonts w:ascii="Harrington" w:hAnsi="Harrington"/>
                          </w:rPr>
                        </w:pPr>
                        <w:r>
                          <w:rPr>
                            <w:rFonts w:ascii="Harrington" w:hAnsi="Harrington"/>
                          </w:rPr>
                          <w:t xml:space="preserve">          </w:t>
                        </w:r>
                      </w:p>
                    </w:txbxContent>
                  </v:textbox>
                </v:shape>
              </v:group>
            </w:pict>
          </mc:Fallback>
        </mc:AlternateContent>
      </w:r>
    </w:p>
    <w:p w:rsidR="0023287E" w:rsidRDefault="0023287E" w:rsidP="00661B50">
      <w:pPr>
        <w:pStyle w:val="NoSpacing"/>
        <w:jc w:val="center"/>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23287E" w:rsidP="004B06A6">
      <w:pPr>
        <w:pStyle w:val="NoSpacing"/>
        <w:rPr>
          <w:rFonts w:ascii="Harrington" w:hAnsi="Harrington"/>
          <w:sz w:val="24"/>
          <w:szCs w:val="24"/>
        </w:rPr>
      </w:pPr>
    </w:p>
    <w:p w:rsidR="0023287E" w:rsidRDefault="00DF33E6" w:rsidP="004B06A6">
      <w:pPr>
        <w:pStyle w:val="NoSpacing"/>
        <w:rPr>
          <w:rFonts w:ascii="Harrington" w:hAnsi="Harrington"/>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5448300</wp:posOffset>
                </wp:positionH>
                <wp:positionV relativeFrom="paragraph">
                  <wp:posOffset>83185</wp:posOffset>
                </wp:positionV>
                <wp:extent cx="2026920" cy="35528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00CC3CF8">
                              <w:rPr>
                                <w:b/>
                                <w:sz w:val="24"/>
                              </w:rPr>
                              <w:t xml:space="preserve"> </w:t>
                            </w:r>
                            <w:r w:rsidRPr="00C5028A">
                              <w:rPr>
                                <w:b/>
                                <w:sz w:val="24"/>
                                <w:u w:val="single"/>
                              </w:rPr>
                              <w:t>DRUG SHORTAGES</w:t>
                            </w:r>
                          </w:p>
                          <w:p w:rsidR="00975862" w:rsidRDefault="004976F0" w:rsidP="00D35858">
                            <w:pPr>
                              <w:pStyle w:val="NoSpacing"/>
                              <w:rPr>
                                <w:b/>
                                <w:sz w:val="20"/>
                              </w:rPr>
                            </w:pPr>
                            <w:r w:rsidRPr="00886519">
                              <w:rPr>
                                <w:b/>
                                <w:sz w:val="20"/>
                              </w:rPr>
                              <w:t xml:space="preserve">         </w:t>
                            </w:r>
                            <w:r w:rsidR="00CC3CF8">
                              <w:rPr>
                                <w:b/>
                                <w:sz w:val="20"/>
                              </w:rPr>
                              <w:t xml:space="preserve"> </w:t>
                            </w:r>
                            <w:r w:rsidR="001773A3">
                              <w:rPr>
                                <w:b/>
                                <w:sz w:val="20"/>
                              </w:rPr>
                              <w:t>IV Metoprolol</w:t>
                            </w:r>
                          </w:p>
                          <w:p w:rsidR="00230DA1" w:rsidRDefault="001773A3" w:rsidP="00D35858">
                            <w:pPr>
                              <w:pStyle w:val="NoSpacing"/>
                              <w:rPr>
                                <w:b/>
                                <w:sz w:val="20"/>
                              </w:rPr>
                            </w:pPr>
                            <w:r>
                              <w:rPr>
                                <w:b/>
                                <w:sz w:val="20"/>
                              </w:rPr>
                              <w:t xml:space="preserve">          IV Nutrition (TPN)</w:t>
                            </w:r>
                          </w:p>
                          <w:p w:rsidR="00230DA1" w:rsidRDefault="00230DA1" w:rsidP="00D35858">
                            <w:pPr>
                              <w:pStyle w:val="NoSpacing"/>
                              <w:rPr>
                                <w:b/>
                                <w:sz w:val="20"/>
                              </w:rPr>
                            </w:pPr>
                            <w:r>
                              <w:rPr>
                                <w:b/>
                                <w:sz w:val="20"/>
                              </w:rPr>
                              <w:t xml:space="preserve">          IV hydromorphone</w:t>
                            </w:r>
                          </w:p>
                          <w:p w:rsidR="00230DA1" w:rsidRDefault="00230DA1" w:rsidP="00D35858">
                            <w:pPr>
                              <w:pStyle w:val="NoSpacing"/>
                              <w:rPr>
                                <w:b/>
                                <w:sz w:val="20"/>
                              </w:rPr>
                            </w:pPr>
                            <w:r>
                              <w:rPr>
                                <w:b/>
                                <w:sz w:val="20"/>
                              </w:rPr>
                              <w:t xml:space="preserve">          IV morphine </w:t>
                            </w:r>
                            <w:r w:rsidR="001773A3">
                              <w:rPr>
                                <w:b/>
                                <w:sz w:val="20"/>
                              </w:rPr>
                              <w:t xml:space="preserve"> </w:t>
                            </w:r>
                          </w:p>
                          <w:p w:rsidR="004976F0" w:rsidRDefault="001773A3" w:rsidP="00D35858">
                            <w:pPr>
                              <w:pStyle w:val="NoSpacing"/>
                              <w:rPr>
                                <w:b/>
                                <w:sz w:val="20"/>
                              </w:rPr>
                            </w:pPr>
                            <w:r>
                              <w:rPr>
                                <w:b/>
                                <w:sz w:val="20"/>
                              </w:rPr>
                              <w:t xml:space="preserve">  </w:t>
                            </w:r>
                            <w:r w:rsidR="00241E67">
                              <w:rPr>
                                <w:b/>
                                <w:sz w:val="20"/>
                              </w:rPr>
                              <w:t xml:space="preserve">        Dopamine</w:t>
                            </w:r>
                            <w:r w:rsidR="00230DA1">
                              <w:rPr>
                                <w:b/>
                                <w:sz w:val="20"/>
                              </w:rPr>
                              <w:tab/>
                            </w:r>
                            <w:r>
                              <w:rPr>
                                <w:b/>
                                <w:sz w:val="20"/>
                              </w:rPr>
                              <w:t xml:space="preserve">   </w:t>
                            </w:r>
                          </w:p>
                          <w:p w:rsidR="002758C5" w:rsidRDefault="0007290A" w:rsidP="00D35858">
                            <w:pPr>
                              <w:pStyle w:val="NoSpacing"/>
                              <w:rPr>
                                <w:b/>
                                <w:sz w:val="20"/>
                              </w:rPr>
                            </w:pPr>
                            <w:r>
                              <w:rPr>
                                <w:b/>
                                <w:sz w:val="20"/>
                              </w:rPr>
                              <w:t xml:space="preserve">         </w:t>
                            </w:r>
                            <w:r w:rsidR="00CC3CF8">
                              <w:rPr>
                                <w:b/>
                                <w:sz w:val="20"/>
                              </w:rPr>
                              <w:t xml:space="preserve"> </w:t>
                            </w:r>
                          </w:p>
                          <w:p w:rsidR="003A2707" w:rsidRDefault="003A2707" w:rsidP="00D35858">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9pt;margin-top:6.55pt;width:159.6pt;height:27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ItAIAAMEFAAAOAAAAZHJzL2Uyb0RvYy54bWysVNuOmzAQfa/Uf7D8znKJSQJaUu2GUFXa&#10;XqTdfoADJlgFm9pOYFv13zs2STa7femNB2R7xmfOzBzP9Zuxa9GBKc2lyHB4FWDERCkrLnYZ/vxQ&#10;eEuMtKGioq0ULMOPTOM3q9evroc+ZZFsZFsxhQBE6HToM9wY06e+r8uGdVRfyZ4JMNZSddTAVu38&#10;StEB0LvWj4Jg7g9SVb2SJdMaTvPJiFcOv65ZaT7WtWYGtRkGbsb9lftv7d9fXdN0p2jf8PJIg/4F&#10;i45yAUHPUDk1FO0V/wWq46WSWtbmqpSdL+ual8zlANmEwYts7hvaM5cLFEf35zLp/wdbfjh8UohX&#10;GZ5hJGgHLXpgo0G3ckTEVmfodQpO9z24mRGOocsuU93fyfKLRkKuGyp27EYpOTSMVsAutDf9i6sT&#10;jrYg2+G9rCAM3RvpgMZadbZ0UAwE6NClx3NnLJUSDqMgmicRmEqwzeI4Wkaxi0HT0/VeafOWyQ7Z&#10;RYYVtN7B08OdNpYOTU8uNpqQBW9b1/5WPDsAx+kEgsNVa7M0XDe/J0GyWW6WxCPRfOORIM+9m2JN&#10;vHkRLuJ8lq/XefjDxg1J2vCqYsKGOSkrJL/XuaPGJ02ctaVlyysLZylptduuW4UOFJRduO9YkAs3&#10;/zkNVwTI5UVKYUSC2yjxivly4ZGCxF6yCJZeECa3yTwgCcmL5yndccH+PSU0ZHg+i4NJTX+cG007&#10;bmB2tLzL8DKwny0ATa0GN6Jya0N5O60vSmHpP5UC2n1qtFOsFekkVzNux+PTADCr5q2sHkHCSoLA&#10;QIww92DRSPUNowFmSIb11z1VDKP2nYBnkISE2KHjNiReWAGrS8v20kJFCVAZNhhNy7WZBtW+V3zX&#10;QKTp4Ql5A0+n5k7UT6yODw7mhMvtONPsILrcO6+nybv6CQAA//8DAFBLAwQUAAYACAAAACEAur9D&#10;bOAAAAALAQAADwAAAGRycy9kb3ducmV2LnhtbEyPwU7DMBBE70j8g7VI3KiTlDZRGqdCSAUuHCh8&#10;gB1vk7TxOrLdNP173BMcRzOaeVNtZzOwCZ3vLQlIFwkwpMbqnloBP9+7pwKYD5K0HCyhgCt62Nb3&#10;d5Ustb3QF0770LJYQr6UAroQxpJz33RopF/YESl6B+uMDFG6lmsnL7HcDDxLkjU3sqe40MkRXzts&#10;TvuzEXBUbaMOn+Pbc7/MrruPdzWfJifE48P8sgEWcA5/YbjhR3SoI5OyZ9KeDQKKVRG/hGgsU2C3&#10;QJrnGTAlYJVna+B1xf9/qH8BAAD//wMAUEsBAi0AFAAGAAgAAAAhALaDOJL+AAAA4QEAABMAAAAA&#10;AAAAAAAAAAAAAAAAAFtDb250ZW50X1R5cGVzXS54bWxQSwECLQAUAAYACAAAACEAOP0h/9YAAACU&#10;AQAACwAAAAAAAAAAAAAAAAAvAQAAX3JlbHMvLnJlbHNQSwECLQAUAAYACAAAACEAbGbrCLQCAADB&#10;BQAADgAAAAAAAAAAAAAAAAAuAgAAZHJzL2Uyb0RvYy54bWxQSwECLQAUAAYACAAAACEAur9DbOAA&#10;AAALAQAADwAAAAAAAAAAAAAAAAAOBQAAZHJzL2Rvd25yZXYueG1sUEsFBgAAAAAEAAQA8wAAABsG&#10;AAAAAA==&#10;" filled="f" stroked="f" strokecolor="white" strokeweight=".5pt">
                <v:textbox>
                  <w:txbxContent>
                    <w:p w:rsidR="004976F0" w:rsidRDefault="004976F0" w:rsidP="00D35858"/>
                    <w:p w:rsidR="004976F0" w:rsidRDefault="004976F0" w:rsidP="00D35858"/>
                    <w:p w:rsidR="004976F0" w:rsidRDefault="004976F0" w:rsidP="00D35858"/>
                    <w:p w:rsidR="004976F0" w:rsidRDefault="004976F0" w:rsidP="00D35858">
                      <w:pPr>
                        <w:pStyle w:val="NoSpacing"/>
                        <w:rPr>
                          <w:b/>
                          <w:u w:val="single"/>
                        </w:rPr>
                      </w:pPr>
                    </w:p>
                    <w:p w:rsidR="004976F0" w:rsidRPr="00C5028A" w:rsidRDefault="004976F0" w:rsidP="00D35858">
                      <w:pPr>
                        <w:pStyle w:val="NoSpacing"/>
                        <w:rPr>
                          <w:b/>
                          <w:sz w:val="24"/>
                          <w:u w:val="single"/>
                        </w:rPr>
                      </w:pPr>
                      <w:r w:rsidRPr="00C5028A">
                        <w:rPr>
                          <w:b/>
                          <w:sz w:val="24"/>
                        </w:rPr>
                        <w:t xml:space="preserve">   </w:t>
                      </w:r>
                      <w:r>
                        <w:rPr>
                          <w:b/>
                          <w:sz w:val="24"/>
                        </w:rPr>
                        <w:t xml:space="preserve">    </w:t>
                      </w:r>
                      <w:r w:rsidR="00CC3CF8">
                        <w:rPr>
                          <w:b/>
                          <w:sz w:val="24"/>
                        </w:rPr>
                        <w:t xml:space="preserve"> </w:t>
                      </w:r>
                      <w:r w:rsidRPr="00C5028A">
                        <w:rPr>
                          <w:b/>
                          <w:sz w:val="24"/>
                          <w:u w:val="single"/>
                        </w:rPr>
                        <w:t>DRUG SHORTAGES</w:t>
                      </w:r>
                    </w:p>
                    <w:p w:rsidR="00975862" w:rsidRDefault="004976F0" w:rsidP="00D35858">
                      <w:pPr>
                        <w:pStyle w:val="NoSpacing"/>
                        <w:rPr>
                          <w:b/>
                          <w:sz w:val="20"/>
                        </w:rPr>
                      </w:pPr>
                      <w:r w:rsidRPr="00886519">
                        <w:rPr>
                          <w:b/>
                          <w:sz w:val="20"/>
                        </w:rPr>
                        <w:t xml:space="preserve">         </w:t>
                      </w:r>
                      <w:r w:rsidR="00CC3CF8">
                        <w:rPr>
                          <w:b/>
                          <w:sz w:val="20"/>
                        </w:rPr>
                        <w:t xml:space="preserve"> </w:t>
                      </w:r>
                      <w:r w:rsidR="001773A3">
                        <w:rPr>
                          <w:b/>
                          <w:sz w:val="20"/>
                        </w:rPr>
                        <w:t>IV Metoprolol</w:t>
                      </w:r>
                    </w:p>
                    <w:p w:rsidR="00230DA1" w:rsidRDefault="001773A3" w:rsidP="00D35858">
                      <w:pPr>
                        <w:pStyle w:val="NoSpacing"/>
                        <w:rPr>
                          <w:b/>
                          <w:sz w:val="20"/>
                        </w:rPr>
                      </w:pPr>
                      <w:r>
                        <w:rPr>
                          <w:b/>
                          <w:sz w:val="20"/>
                        </w:rPr>
                        <w:t xml:space="preserve">          IV Nutrition (TPN)</w:t>
                      </w:r>
                    </w:p>
                    <w:p w:rsidR="00230DA1" w:rsidRDefault="00230DA1" w:rsidP="00D35858">
                      <w:pPr>
                        <w:pStyle w:val="NoSpacing"/>
                        <w:rPr>
                          <w:b/>
                          <w:sz w:val="20"/>
                        </w:rPr>
                      </w:pPr>
                      <w:r>
                        <w:rPr>
                          <w:b/>
                          <w:sz w:val="20"/>
                        </w:rPr>
                        <w:t xml:space="preserve">          IV hydromorphone</w:t>
                      </w:r>
                    </w:p>
                    <w:p w:rsidR="00230DA1" w:rsidRDefault="00230DA1" w:rsidP="00D35858">
                      <w:pPr>
                        <w:pStyle w:val="NoSpacing"/>
                        <w:rPr>
                          <w:b/>
                          <w:sz w:val="20"/>
                        </w:rPr>
                      </w:pPr>
                      <w:r>
                        <w:rPr>
                          <w:b/>
                          <w:sz w:val="20"/>
                        </w:rPr>
                        <w:t xml:space="preserve">          IV morphine </w:t>
                      </w:r>
                      <w:r w:rsidR="001773A3">
                        <w:rPr>
                          <w:b/>
                          <w:sz w:val="20"/>
                        </w:rPr>
                        <w:t xml:space="preserve"> </w:t>
                      </w:r>
                    </w:p>
                    <w:p w:rsidR="004976F0" w:rsidRDefault="001773A3" w:rsidP="00D35858">
                      <w:pPr>
                        <w:pStyle w:val="NoSpacing"/>
                        <w:rPr>
                          <w:b/>
                          <w:sz w:val="20"/>
                        </w:rPr>
                      </w:pPr>
                      <w:r>
                        <w:rPr>
                          <w:b/>
                          <w:sz w:val="20"/>
                        </w:rPr>
                        <w:t xml:space="preserve">  </w:t>
                      </w:r>
                      <w:r w:rsidR="00241E67">
                        <w:rPr>
                          <w:b/>
                          <w:sz w:val="20"/>
                        </w:rPr>
                        <w:t xml:space="preserve">        Dopamine</w:t>
                      </w:r>
                      <w:r w:rsidR="00230DA1">
                        <w:rPr>
                          <w:b/>
                          <w:sz w:val="20"/>
                        </w:rPr>
                        <w:tab/>
                      </w:r>
                      <w:r>
                        <w:rPr>
                          <w:b/>
                          <w:sz w:val="20"/>
                        </w:rPr>
                        <w:t xml:space="preserve">   </w:t>
                      </w:r>
                    </w:p>
                    <w:p w:rsidR="002758C5" w:rsidRDefault="0007290A" w:rsidP="00D35858">
                      <w:pPr>
                        <w:pStyle w:val="NoSpacing"/>
                        <w:rPr>
                          <w:b/>
                          <w:sz w:val="20"/>
                        </w:rPr>
                      </w:pPr>
                      <w:r>
                        <w:rPr>
                          <w:b/>
                          <w:sz w:val="20"/>
                        </w:rPr>
                        <w:t xml:space="preserve">         </w:t>
                      </w:r>
                      <w:r w:rsidR="00CC3CF8">
                        <w:rPr>
                          <w:b/>
                          <w:sz w:val="20"/>
                        </w:rPr>
                        <w:t xml:space="preserve"> </w:t>
                      </w:r>
                    </w:p>
                    <w:p w:rsidR="003A2707" w:rsidRDefault="003A2707" w:rsidP="00D35858">
                      <w:pPr>
                        <w:pStyle w:val="NoSpacing"/>
                        <w:rPr>
                          <w:b/>
                          <w:sz w:val="20"/>
                        </w:rPr>
                      </w:pPr>
                      <w:r>
                        <w:rPr>
                          <w:b/>
                          <w:sz w:val="20"/>
                        </w:rPr>
                        <w:t xml:space="preserve">         </w:t>
                      </w:r>
                    </w:p>
                    <w:p w:rsidR="00B24A08" w:rsidRPr="00886519" w:rsidRDefault="003A2707" w:rsidP="00D35858">
                      <w:pPr>
                        <w:pStyle w:val="NoSpacing"/>
                        <w:rPr>
                          <w:b/>
                          <w:sz w:val="20"/>
                        </w:rPr>
                      </w:pPr>
                      <w:r>
                        <w:rPr>
                          <w:b/>
                          <w:sz w:val="20"/>
                        </w:rPr>
                        <w:t xml:space="preserve">     </w:t>
                      </w:r>
                    </w:p>
                    <w:p w:rsidR="004976F0" w:rsidRPr="0015023E" w:rsidRDefault="004976F0" w:rsidP="00D35858">
                      <w:pPr>
                        <w:pStyle w:val="NoSpacing"/>
                        <w:rPr>
                          <w:sz w:val="18"/>
                          <w:szCs w:val="18"/>
                        </w:rPr>
                      </w:pPr>
                      <w:r>
                        <w:rPr>
                          <w:sz w:val="20"/>
                        </w:rPr>
                        <w:t xml:space="preserve">            </w:t>
                      </w:r>
                    </w:p>
                    <w:p w:rsidR="004976F0" w:rsidRDefault="004976F0" w:rsidP="00D35858">
                      <w:pPr>
                        <w:pStyle w:val="NoSpacing"/>
                        <w:rPr>
                          <w:b/>
                          <w:sz w:val="20"/>
                        </w:rPr>
                      </w:pPr>
                      <w:r>
                        <w:rPr>
                          <w:sz w:val="20"/>
                        </w:rPr>
                        <w:t xml:space="preserve">           </w:t>
                      </w:r>
                      <w:r w:rsidRPr="00C37622">
                        <w:rPr>
                          <w:b/>
                          <w:sz w:val="20"/>
                        </w:rPr>
                        <w:tab/>
                      </w:r>
                    </w:p>
                    <w:p w:rsidR="004976F0" w:rsidRPr="00C37622" w:rsidRDefault="004976F0" w:rsidP="00D35858">
                      <w:pPr>
                        <w:pStyle w:val="NoSpacing"/>
                        <w:rPr>
                          <w:b/>
                          <w:sz w:val="20"/>
                        </w:rPr>
                      </w:pPr>
                    </w:p>
                    <w:p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rsidR="004976F0" w:rsidRPr="00C5028A" w:rsidRDefault="00263D2C" w:rsidP="00D35858">
                      <w:pPr>
                        <w:pStyle w:val="NoSpacing"/>
                        <w:rPr>
                          <w:b/>
                          <w:sz w:val="20"/>
                        </w:rPr>
                      </w:pPr>
                      <w:r>
                        <w:rPr>
                          <w:b/>
                          <w:sz w:val="20"/>
                        </w:rPr>
                        <w:t xml:space="preserve">         </w:t>
                      </w:r>
                      <w:r w:rsidR="004976F0" w:rsidRPr="00C5028A">
                        <w:rPr>
                          <w:b/>
                          <w:sz w:val="20"/>
                        </w:rPr>
                        <w:t>contact:</w:t>
                      </w:r>
                    </w:p>
                    <w:p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rsidR="004976F0" w:rsidRDefault="004976F0" w:rsidP="00D35858">
                      <w:pPr>
                        <w:pStyle w:val="NoSpacing"/>
                      </w:pPr>
                    </w:p>
                    <w:p w:rsidR="004976F0" w:rsidRPr="00AC04BE" w:rsidRDefault="004976F0" w:rsidP="00D35858">
                      <w:pPr>
                        <w:pStyle w:val="NoSpacing"/>
                      </w:pPr>
                    </w:p>
                  </w:txbxContent>
                </v:textbox>
              </v:shape>
            </w:pict>
          </mc:Fallback>
        </mc:AlternateContent>
      </w:r>
    </w:p>
    <w:p w:rsidR="0023287E" w:rsidRDefault="0023287E" w:rsidP="004B06A6">
      <w:pPr>
        <w:pStyle w:val="NoSpacing"/>
        <w:rPr>
          <w:rFonts w:ascii="Harrington" w:hAnsi="Harrington"/>
          <w:sz w:val="24"/>
          <w:szCs w:val="24"/>
        </w:rPr>
      </w:pPr>
    </w:p>
    <w:p w:rsidR="00F361E0" w:rsidRDefault="00F361E0" w:rsidP="004B06A6">
      <w:pPr>
        <w:pStyle w:val="NoSpacing"/>
        <w:rPr>
          <w:rFonts w:ascii="Harrington" w:hAnsi="Harrington"/>
          <w:sz w:val="24"/>
          <w:szCs w:val="24"/>
        </w:rPr>
      </w:pPr>
    </w:p>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Pr="00F361E0" w:rsidRDefault="00F361E0" w:rsidP="00F361E0"/>
    <w:p w:rsidR="00F361E0" w:rsidRDefault="00F361E0" w:rsidP="00F361E0"/>
    <w:p w:rsidR="0023287E" w:rsidRDefault="00F361E0" w:rsidP="00F361E0">
      <w:pPr>
        <w:tabs>
          <w:tab w:val="left" w:pos="9015"/>
        </w:tabs>
      </w:pPr>
      <w:r>
        <w:tab/>
      </w:r>
    </w:p>
    <w:p w:rsidR="00F361E0" w:rsidRDefault="00F361E0" w:rsidP="00F361E0">
      <w:pPr>
        <w:tabs>
          <w:tab w:val="left" w:pos="9015"/>
        </w:tabs>
      </w:pPr>
    </w:p>
    <w:p w:rsidR="00027A21" w:rsidRDefault="00027A21" w:rsidP="00F361E0">
      <w:pPr>
        <w:tabs>
          <w:tab w:val="left" w:pos="9015"/>
        </w:tabs>
      </w:pPr>
    </w:p>
    <w:p w:rsidR="00534B61" w:rsidRDefault="005532B8" w:rsidP="00F361E0">
      <w:pPr>
        <w:tabs>
          <w:tab w:val="left" w:pos="9015"/>
        </w:tabs>
      </w:pPr>
      <w:r>
        <w:tab/>
      </w:r>
      <w:r>
        <w:tab/>
      </w:r>
    </w:p>
    <w:p w:rsidR="00534B61" w:rsidRDefault="00534B61" w:rsidP="00F361E0">
      <w:pPr>
        <w:tabs>
          <w:tab w:val="left" w:pos="9015"/>
        </w:tabs>
      </w:pPr>
    </w:p>
    <w:p w:rsidR="000F3609" w:rsidRPr="00A837E7" w:rsidRDefault="003F26DF" w:rsidP="00BC33BB">
      <w:pPr>
        <w:tabs>
          <w:tab w:val="left" w:pos="9015"/>
        </w:tabs>
        <w:rPr>
          <w:noProof/>
        </w:rPr>
      </w:pPr>
      <w:r>
        <w:rPr>
          <w:b/>
        </w:rPr>
        <w:lastRenderedPageBreak/>
        <w:t>Appendix</w:t>
      </w:r>
      <w:r w:rsidR="00A837E7">
        <w:rPr>
          <w:b/>
        </w:rPr>
        <w:t xml:space="preserve"> A:</w:t>
      </w:r>
      <w:r w:rsidR="00A837E7">
        <w:rPr>
          <w:noProof/>
        </w:rPr>
        <w:drawing>
          <wp:inline distT="0" distB="0" distL="0" distR="0" wp14:anchorId="79E6DA0F" wp14:editId="110F85C9">
            <wp:extent cx="6838950" cy="841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38950" cy="8410575"/>
                    </a:xfrm>
                    <a:prstGeom prst="rect">
                      <a:avLst/>
                    </a:prstGeom>
                  </pic:spPr>
                </pic:pic>
              </a:graphicData>
            </a:graphic>
          </wp:inline>
        </w:drawing>
      </w:r>
      <w:r w:rsidR="005532B8" w:rsidRPr="00534B61">
        <w:rPr>
          <w:b/>
        </w:rPr>
        <w:tab/>
      </w:r>
    </w:p>
    <w:sectPr w:rsidR="000F3609" w:rsidRPr="00A837E7" w:rsidSect="00FC6402">
      <w:headerReference w:type="default" r:id="rId11"/>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81" w:rsidRDefault="00121A81" w:rsidP="00FC6402">
      <w:pPr>
        <w:spacing w:after="0" w:line="240" w:lineRule="auto"/>
      </w:pPr>
      <w:r>
        <w:separator/>
      </w:r>
    </w:p>
  </w:endnote>
  <w:endnote w:type="continuationSeparator" w:id="0">
    <w:p w:rsidR="00121A81" w:rsidRDefault="00121A81" w:rsidP="00F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81" w:rsidRDefault="00121A81" w:rsidP="00FC6402">
      <w:pPr>
        <w:spacing w:after="0" w:line="240" w:lineRule="auto"/>
      </w:pPr>
      <w:r>
        <w:separator/>
      </w:r>
    </w:p>
  </w:footnote>
  <w:footnote w:type="continuationSeparator" w:id="0">
    <w:p w:rsidR="00121A81" w:rsidRDefault="00121A81" w:rsidP="00FC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BB" w:rsidRDefault="00BC33BB" w:rsidP="00BC33BB">
    <w:pPr>
      <w:pStyle w:val="NoSpacing"/>
      <w:jc w:val="center"/>
      <w:rPr>
        <w:rFonts w:ascii="Harrington" w:hAnsi="Harrington"/>
        <w:b/>
        <w:sz w:val="48"/>
        <w:szCs w:val="48"/>
      </w:rPr>
    </w:pPr>
    <w:r w:rsidRPr="00FC6402">
      <w:rPr>
        <w:rFonts w:ascii="Harrington" w:hAnsi="Harrington"/>
        <w:b/>
        <w:sz w:val="48"/>
        <w:szCs w:val="48"/>
      </w:rPr>
      <w:t>PHARMACY NEWSLETTER</w:t>
    </w:r>
  </w:p>
  <w:p w:rsidR="00BC33BB" w:rsidRPr="003F26DF" w:rsidRDefault="00B81DC3" w:rsidP="00BC33BB">
    <w:pPr>
      <w:pStyle w:val="NoSpacing"/>
      <w:jc w:val="center"/>
      <w:rPr>
        <w:rFonts w:ascii="Harrington" w:hAnsi="Harrington"/>
        <w:b/>
        <w:sz w:val="48"/>
        <w:szCs w:val="48"/>
      </w:rPr>
    </w:pPr>
    <w:r w:rsidRPr="003F26DF">
      <w:rPr>
        <w:rFonts w:ascii="Harrington" w:hAnsi="Harrington"/>
        <w:b/>
        <w:sz w:val="24"/>
        <w:szCs w:val="24"/>
      </w:rPr>
      <w:t>January 2018</w:t>
    </w:r>
  </w:p>
  <w:p w:rsidR="00BC33BB" w:rsidRPr="003F26DF" w:rsidRDefault="00BC33BB">
    <w:pPr>
      <w:pStyle w:val="Header"/>
      <w:rPr>
        <w:b/>
      </w:rPr>
    </w:pPr>
  </w:p>
  <w:p w:rsidR="004D6405" w:rsidRPr="004D6405" w:rsidRDefault="004D6405" w:rsidP="004D6405">
    <w:pPr>
      <w:pStyle w:val="NoSpacing"/>
      <w:jc w:val="center"/>
      <w:rPr>
        <w:rFonts w:ascii="Harrington" w:hAnsi="Harringto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71.75pt;visibility:visible;mso-wrap-style:square" o:bullet="t">
        <v:imagedata r:id="rId1" o:title=""/>
      </v:shape>
    </w:pict>
  </w:numPicBullet>
  <w:abstractNum w:abstractNumId="0" w15:restartNumberingAfterBreak="0">
    <w:nsid w:val="07F864A3"/>
    <w:multiLevelType w:val="hybridMultilevel"/>
    <w:tmpl w:val="01904F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793078D"/>
    <w:multiLevelType w:val="hybridMultilevel"/>
    <w:tmpl w:val="9CE0EC88"/>
    <w:lvl w:ilvl="0" w:tplc="8F3EB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6EB"/>
    <w:multiLevelType w:val="hybridMultilevel"/>
    <w:tmpl w:val="F370B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2E24D0"/>
    <w:multiLevelType w:val="hybridMultilevel"/>
    <w:tmpl w:val="EEB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5FBE"/>
    <w:multiLevelType w:val="hybridMultilevel"/>
    <w:tmpl w:val="E35E23BC"/>
    <w:lvl w:ilvl="0" w:tplc="CCE634BA">
      <w:start w:val="1"/>
      <w:numFmt w:val="upperRoman"/>
      <w:lvlText w:val="%1."/>
      <w:lvlJc w:val="right"/>
      <w:pPr>
        <w:ind w:left="630" w:hanging="360"/>
      </w:pPr>
      <w:rPr>
        <w:rFonts w:cs="Times New Roman"/>
        <w:b/>
      </w:rPr>
    </w:lvl>
    <w:lvl w:ilvl="1" w:tplc="02782DCA">
      <w:start w:val="1"/>
      <w:numFmt w:val="decimal"/>
      <w:lvlText w:val="%2."/>
      <w:lvlJc w:val="left"/>
      <w:pPr>
        <w:ind w:left="360" w:hanging="360"/>
      </w:pPr>
      <w:rPr>
        <w:rFonts w:hint="default"/>
        <w:b/>
        <w:i w:val="0"/>
        <w:sz w:val="22"/>
        <w:szCs w:val="22"/>
      </w:rPr>
    </w:lvl>
    <w:lvl w:ilvl="2" w:tplc="04090019">
      <w:start w:val="1"/>
      <w:numFmt w:val="lowerLetter"/>
      <w:lvlText w:val="%3."/>
      <w:lvlJc w:val="left"/>
      <w:pPr>
        <w:ind w:left="180" w:hanging="180"/>
      </w:pPr>
      <w:rPr>
        <w:rFont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430858D2"/>
    <w:multiLevelType w:val="hybridMultilevel"/>
    <w:tmpl w:val="E410D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33775A"/>
    <w:multiLevelType w:val="hybridMultilevel"/>
    <w:tmpl w:val="115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2E3E"/>
    <w:multiLevelType w:val="hybridMultilevel"/>
    <w:tmpl w:val="5BB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37EFF"/>
    <w:multiLevelType w:val="hybridMultilevel"/>
    <w:tmpl w:val="B35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A0BB4"/>
    <w:multiLevelType w:val="hybridMultilevel"/>
    <w:tmpl w:val="5E7AC68A"/>
    <w:lvl w:ilvl="0" w:tplc="21D689EE">
      <w:start w:val="1"/>
      <w:numFmt w:val="bullet"/>
      <w:lvlText w:val=""/>
      <w:lvlPicBulletId w:val="0"/>
      <w:lvlJc w:val="left"/>
      <w:pPr>
        <w:tabs>
          <w:tab w:val="num" w:pos="4230"/>
        </w:tabs>
        <w:ind w:left="4230" w:hanging="360"/>
      </w:pPr>
      <w:rPr>
        <w:rFonts w:ascii="Symbol" w:hAnsi="Symbol" w:hint="default"/>
      </w:rPr>
    </w:lvl>
    <w:lvl w:ilvl="1" w:tplc="F39C3480" w:tentative="1">
      <w:start w:val="1"/>
      <w:numFmt w:val="bullet"/>
      <w:lvlText w:val=""/>
      <w:lvlJc w:val="left"/>
      <w:pPr>
        <w:tabs>
          <w:tab w:val="num" w:pos="4950"/>
        </w:tabs>
        <w:ind w:left="4950" w:hanging="360"/>
      </w:pPr>
      <w:rPr>
        <w:rFonts w:ascii="Symbol" w:hAnsi="Symbol" w:hint="default"/>
      </w:rPr>
    </w:lvl>
    <w:lvl w:ilvl="2" w:tplc="895288A4" w:tentative="1">
      <w:start w:val="1"/>
      <w:numFmt w:val="bullet"/>
      <w:lvlText w:val=""/>
      <w:lvlJc w:val="left"/>
      <w:pPr>
        <w:tabs>
          <w:tab w:val="num" w:pos="5670"/>
        </w:tabs>
        <w:ind w:left="5670" w:hanging="360"/>
      </w:pPr>
      <w:rPr>
        <w:rFonts w:ascii="Symbol" w:hAnsi="Symbol" w:hint="default"/>
      </w:rPr>
    </w:lvl>
    <w:lvl w:ilvl="3" w:tplc="A06AA530" w:tentative="1">
      <w:start w:val="1"/>
      <w:numFmt w:val="bullet"/>
      <w:lvlText w:val=""/>
      <w:lvlJc w:val="left"/>
      <w:pPr>
        <w:tabs>
          <w:tab w:val="num" w:pos="6390"/>
        </w:tabs>
        <w:ind w:left="6390" w:hanging="360"/>
      </w:pPr>
      <w:rPr>
        <w:rFonts w:ascii="Symbol" w:hAnsi="Symbol" w:hint="default"/>
      </w:rPr>
    </w:lvl>
    <w:lvl w:ilvl="4" w:tplc="B1BADD4E" w:tentative="1">
      <w:start w:val="1"/>
      <w:numFmt w:val="bullet"/>
      <w:lvlText w:val=""/>
      <w:lvlJc w:val="left"/>
      <w:pPr>
        <w:tabs>
          <w:tab w:val="num" w:pos="7110"/>
        </w:tabs>
        <w:ind w:left="7110" w:hanging="360"/>
      </w:pPr>
      <w:rPr>
        <w:rFonts w:ascii="Symbol" w:hAnsi="Symbol" w:hint="default"/>
      </w:rPr>
    </w:lvl>
    <w:lvl w:ilvl="5" w:tplc="73D6486E" w:tentative="1">
      <w:start w:val="1"/>
      <w:numFmt w:val="bullet"/>
      <w:lvlText w:val=""/>
      <w:lvlJc w:val="left"/>
      <w:pPr>
        <w:tabs>
          <w:tab w:val="num" w:pos="7830"/>
        </w:tabs>
        <w:ind w:left="7830" w:hanging="360"/>
      </w:pPr>
      <w:rPr>
        <w:rFonts w:ascii="Symbol" w:hAnsi="Symbol" w:hint="default"/>
      </w:rPr>
    </w:lvl>
    <w:lvl w:ilvl="6" w:tplc="25244E56" w:tentative="1">
      <w:start w:val="1"/>
      <w:numFmt w:val="bullet"/>
      <w:lvlText w:val=""/>
      <w:lvlJc w:val="left"/>
      <w:pPr>
        <w:tabs>
          <w:tab w:val="num" w:pos="8550"/>
        </w:tabs>
        <w:ind w:left="8550" w:hanging="360"/>
      </w:pPr>
      <w:rPr>
        <w:rFonts w:ascii="Symbol" w:hAnsi="Symbol" w:hint="default"/>
      </w:rPr>
    </w:lvl>
    <w:lvl w:ilvl="7" w:tplc="CA383CE6" w:tentative="1">
      <w:start w:val="1"/>
      <w:numFmt w:val="bullet"/>
      <w:lvlText w:val=""/>
      <w:lvlJc w:val="left"/>
      <w:pPr>
        <w:tabs>
          <w:tab w:val="num" w:pos="9270"/>
        </w:tabs>
        <w:ind w:left="9270" w:hanging="360"/>
      </w:pPr>
      <w:rPr>
        <w:rFonts w:ascii="Symbol" w:hAnsi="Symbol" w:hint="default"/>
      </w:rPr>
    </w:lvl>
    <w:lvl w:ilvl="8" w:tplc="C72A2530" w:tentative="1">
      <w:start w:val="1"/>
      <w:numFmt w:val="bullet"/>
      <w:lvlText w:val=""/>
      <w:lvlJc w:val="left"/>
      <w:pPr>
        <w:tabs>
          <w:tab w:val="num" w:pos="9990"/>
        </w:tabs>
        <w:ind w:left="9990" w:hanging="360"/>
      </w:pPr>
      <w:rPr>
        <w:rFonts w:ascii="Symbol" w:hAnsi="Symbol" w:hint="default"/>
      </w:rPr>
    </w:lvl>
  </w:abstractNum>
  <w:abstractNum w:abstractNumId="10" w15:restartNumberingAfterBreak="0">
    <w:nsid w:val="62CA35DC"/>
    <w:multiLevelType w:val="hybridMultilevel"/>
    <w:tmpl w:val="FE80FC7E"/>
    <w:lvl w:ilvl="0" w:tplc="F016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F5284"/>
    <w:multiLevelType w:val="hybridMultilevel"/>
    <w:tmpl w:val="B15A3C2C"/>
    <w:lvl w:ilvl="0" w:tplc="DD5CBA42">
      <w:start w:val="1"/>
      <w:numFmt w:val="bullet"/>
      <w:lvlText w:val=""/>
      <w:lvlPicBulletId w:val="0"/>
      <w:lvlJc w:val="left"/>
      <w:pPr>
        <w:tabs>
          <w:tab w:val="num" w:pos="720"/>
        </w:tabs>
        <w:ind w:left="720" w:hanging="360"/>
      </w:pPr>
      <w:rPr>
        <w:rFonts w:ascii="Symbol" w:hAnsi="Symbol" w:hint="default"/>
      </w:rPr>
    </w:lvl>
    <w:lvl w:ilvl="1" w:tplc="1FD0D244" w:tentative="1">
      <w:start w:val="1"/>
      <w:numFmt w:val="bullet"/>
      <w:lvlText w:val=""/>
      <w:lvlJc w:val="left"/>
      <w:pPr>
        <w:tabs>
          <w:tab w:val="num" w:pos="1440"/>
        </w:tabs>
        <w:ind w:left="1440" w:hanging="360"/>
      </w:pPr>
      <w:rPr>
        <w:rFonts w:ascii="Symbol" w:hAnsi="Symbol" w:hint="default"/>
      </w:rPr>
    </w:lvl>
    <w:lvl w:ilvl="2" w:tplc="1F741D88" w:tentative="1">
      <w:start w:val="1"/>
      <w:numFmt w:val="bullet"/>
      <w:lvlText w:val=""/>
      <w:lvlJc w:val="left"/>
      <w:pPr>
        <w:tabs>
          <w:tab w:val="num" w:pos="2160"/>
        </w:tabs>
        <w:ind w:left="2160" w:hanging="360"/>
      </w:pPr>
      <w:rPr>
        <w:rFonts w:ascii="Symbol" w:hAnsi="Symbol" w:hint="default"/>
      </w:rPr>
    </w:lvl>
    <w:lvl w:ilvl="3" w:tplc="3B5A7366" w:tentative="1">
      <w:start w:val="1"/>
      <w:numFmt w:val="bullet"/>
      <w:lvlText w:val=""/>
      <w:lvlJc w:val="left"/>
      <w:pPr>
        <w:tabs>
          <w:tab w:val="num" w:pos="2880"/>
        </w:tabs>
        <w:ind w:left="2880" w:hanging="360"/>
      </w:pPr>
      <w:rPr>
        <w:rFonts w:ascii="Symbol" w:hAnsi="Symbol" w:hint="default"/>
      </w:rPr>
    </w:lvl>
    <w:lvl w:ilvl="4" w:tplc="6D12AF00" w:tentative="1">
      <w:start w:val="1"/>
      <w:numFmt w:val="bullet"/>
      <w:lvlText w:val=""/>
      <w:lvlJc w:val="left"/>
      <w:pPr>
        <w:tabs>
          <w:tab w:val="num" w:pos="3600"/>
        </w:tabs>
        <w:ind w:left="3600" w:hanging="360"/>
      </w:pPr>
      <w:rPr>
        <w:rFonts w:ascii="Symbol" w:hAnsi="Symbol" w:hint="default"/>
      </w:rPr>
    </w:lvl>
    <w:lvl w:ilvl="5" w:tplc="35404238" w:tentative="1">
      <w:start w:val="1"/>
      <w:numFmt w:val="bullet"/>
      <w:lvlText w:val=""/>
      <w:lvlJc w:val="left"/>
      <w:pPr>
        <w:tabs>
          <w:tab w:val="num" w:pos="4320"/>
        </w:tabs>
        <w:ind w:left="4320" w:hanging="360"/>
      </w:pPr>
      <w:rPr>
        <w:rFonts w:ascii="Symbol" w:hAnsi="Symbol" w:hint="default"/>
      </w:rPr>
    </w:lvl>
    <w:lvl w:ilvl="6" w:tplc="F3CA0C24" w:tentative="1">
      <w:start w:val="1"/>
      <w:numFmt w:val="bullet"/>
      <w:lvlText w:val=""/>
      <w:lvlJc w:val="left"/>
      <w:pPr>
        <w:tabs>
          <w:tab w:val="num" w:pos="5040"/>
        </w:tabs>
        <w:ind w:left="5040" w:hanging="360"/>
      </w:pPr>
      <w:rPr>
        <w:rFonts w:ascii="Symbol" w:hAnsi="Symbol" w:hint="default"/>
      </w:rPr>
    </w:lvl>
    <w:lvl w:ilvl="7" w:tplc="1690E31C" w:tentative="1">
      <w:start w:val="1"/>
      <w:numFmt w:val="bullet"/>
      <w:lvlText w:val=""/>
      <w:lvlJc w:val="left"/>
      <w:pPr>
        <w:tabs>
          <w:tab w:val="num" w:pos="5760"/>
        </w:tabs>
        <w:ind w:left="5760" w:hanging="360"/>
      </w:pPr>
      <w:rPr>
        <w:rFonts w:ascii="Symbol" w:hAnsi="Symbol" w:hint="default"/>
      </w:rPr>
    </w:lvl>
    <w:lvl w:ilvl="8" w:tplc="2750B5B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6"/>
  </w:num>
  <w:num w:numId="4">
    <w:abstractNumId w:val="10"/>
  </w:num>
  <w:num w:numId="5">
    <w:abstractNumId w:val="8"/>
  </w:num>
  <w:num w:numId="6">
    <w:abstractNumId w:val="2"/>
  </w:num>
  <w:num w:numId="7">
    <w:abstractNumId w:val="1"/>
  </w:num>
  <w:num w:numId="8">
    <w:abstractNumId w:val="0"/>
  </w:num>
  <w:num w:numId="9">
    <w:abstractNumId w:val="4"/>
  </w:num>
  <w:num w:numId="10">
    <w:abstractNumId w:val="1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50"/>
    <w:rsid w:val="00000050"/>
    <w:rsid w:val="0000103E"/>
    <w:rsid w:val="00001492"/>
    <w:rsid w:val="00002ADD"/>
    <w:rsid w:val="00002DCE"/>
    <w:rsid w:val="00003FF5"/>
    <w:rsid w:val="000052D2"/>
    <w:rsid w:val="00005DDF"/>
    <w:rsid w:val="000200A0"/>
    <w:rsid w:val="000235ED"/>
    <w:rsid w:val="00025D6C"/>
    <w:rsid w:val="00026BC9"/>
    <w:rsid w:val="00027676"/>
    <w:rsid w:val="00027A21"/>
    <w:rsid w:val="00031A1D"/>
    <w:rsid w:val="00031B6F"/>
    <w:rsid w:val="000336A7"/>
    <w:rsid w:val="00033A4C"/>
    <w:rsid w:val="00034056"/>
    <w:rsid w:val="00034DCD"/>
    <w:rsid w:val="0004270B"/>
    <w:rsid w:val="00042B0F"/>
    <w:rsid w:val="00050244"/>
    <w:rsid w:val="00051D10"/>
    <w:rsid w:val="00053A19"/>
    <w:rsid w:val="00054518"/>
    <w:rsid w:val="00056DE0"/>
    <w:rsid w:val="00061FD0"/>
    <w:rsid w:val="000658C2"/>
    <w:rsid w:val="00067947"/>
    <w:rsid w:val="00070FB4"/>
    <w:rsid w:val="000712C5"/>
    <w:rsid w:val="0007290A"/>
    <w:rsid w:val="00073AE2"/>
    <w:rsid w:val="00073C4C"/>
    <w:rsid w:val="00075322"/>
    <w:rsid w:val="00081B3E"/>
    <w:rsid w:val="00085A79"/>
    <w:rsid w:val="00091EAA"/>
    <w:rsid w:val="00092C3D"/>
    <w:rsid w:val="00094573"/>
    <w:rsid w:val="00095F8A"/>
    <w:rsid w:val="00096645"/>
    <w:rsid w:val="000A176A"/>
    <w:rsid w:val="000A1CA5"/>
    <w:rsid w:val="000A2267"/>
    <w:rsid w:val="000A3A49"/>
    <w:rsid w:val="000A6B94"/>
    <w:rsid w:val="000A715F"/>
    <w:rsid w:val="000B3FC7"/>
    <w:rsid w:val="000B43FE"/>
    <w:rsid w:val="000B4B78"/>
    <w:rsid w:val="000C0F45"/>
    <w:rsid w:val="000C35F1"/>
    <w:rsid w:val="000C4F60"/>
    <w:rsid w:val="000C768D"/>
    <w:rsid w:val="000D3616"/>
    <w:rsid w:val="000D6013"/>
    <w:rsid w:val="000E099E"/>
    <w:rsid w:val="000E2C3B"/>
    <w:rsid w:val="000E368E"/>
    <w:rsid w:val="000E4483"/>
    <w:rsid w:val="000E7C5C"/>
    <w:rsid w:val="000F02D3"/>
    <w:rsid w:val="000F3609"/>
    <w:rsid w:val="000F4179"/>
    <w:rsid w:val="000F4C28"/>
    <w:rsid w:val="001003F4"/>
    <w:rsid w:val="00100A65"/>
    <w:rsid w:val="00103E81"/>
    <w:rsid w:val="0010465F"/>
    <w:rsid w:val="0010555E"/>
    <w:rsid w:val="00111097"/>
    <w:rsid w:val="001131A7"/>
    <w:rsid w:val="00116F53"/>
    <w:rsid w:val="00120B3A"/>
    <w:rsid w:val="001218A1"/>
    <w:rsid w:val="00121A81"/>
    <w:rsid w:val="00124982"/>
    <w:rsid w:val="001274A2"/>
    <w:rsid w:val="001305D6"/>
    <w:rsid w:val="00132480"/>
    <w:rsid w:val="001347BB"/>
    <w:rsid w:val="00134BA1"/>
    <w:rsid w:val="00136F4A"/>
    <w:rsid w:val="00147AFA"/>
    <w:rsid w:val="0015023E"/>
    <w:rsid w:val="001566B4"/>
    <w:rsid w:val="00165FD0"/>
    <w:rsid w:val="00166F21"/>
    <w:rsid w:val="00170F90"/>
    <w:rsid w:val="00171666"/>
    <w:rsid w:val="00173020"/>
    <w:rsid w:val="00173102"/>
    <w:rsid w:val="001773A3"/>
    <w:rsid w:val="0018337C"/>
    <w:rsid w:val="00183E8B"/>
    <w:rsid w:val="001854AC"/>
    <w:rsid w:val="001A6E7A"/>
    <w:rsid w:val="001A7296"/>
    <w:rsid w:val="001A7A51"/>
    <w:rsid w:val="001B2F9F"/>
    <w:rsid w:val="001B3460"/>
    <w:rsid w:val="001B4316"/>
    <w:rsid w:val="001C0684"/>
    <w:rsid w:val="001C52A6"/>
    <w:rsid w:val="001D06AD"/>
    <w:rsid w:val="001D61BF"/>
    <w:rsid w:val="001E0FC9"/>
    <w:rsid w:val="001E4ECD"/>
    <w:rsid w:val="001F18F6"/>
    <w:rsid w:val="001F6BFA"/>
    <w:rsid w:val="00201E64"/>
    <w:rsid w:val="00207999"/>
    <w:rsid w:val="002106E2"/>
    <w:rsid w:val="002132A1"/>
    <w:rsid w:val="00213CEA"/>
    <w:rsid w:val="00217A34"/>
    <w:rsid w:val="002249AD"/>
    <w:rsid w:val="00225D0C"/>
    <w:rsid w:val="0022688A"/>
    <w:rsid w:val="00230DA1"/>
    <w:rsid w:val="00231684"/>
    <w:rsid w:val="0023287E"/>
    <w:rsid w:val="00232A5F"/>
    <w:rsid w:val="00232F98"/>
    <w:rsid w:val="0023544A"/>
    <w:rsid w:val="002369B3"/>
    <w:rsid w:val="00236B57"/>
    <w:rsid w:val="0024060A"/>
    <w:rsid w:val="0024188A"/>
    <w:rsid w:val="00241E67"/>
    <w:rsid w:val="002449EE"/>
    <w:rsid w:val="00246063"/>
    <w:rsid w:val="002462FC"/>
    <w:rsid w:val="00250E83"/>
    <w:rsid w:val="00251D86"/>
    <w:rsid w:val="00255D8D"/>
    <w:rsid w:val="00261D09"/>
    <w:rsid w:val="00262C06"/>
    <w:rsid w:val="00263D2C"/>
    <w:rsid w:val="00264445"/>
    <w:rsid w:val="0026567C"/>
    <w:rsid w:val="002667C8"/>
    <w:rsid w:val="0027049F"/>
    <w:rsid w:val="00271DE5"/>
    <w:rsid w:val="0027265B"/>
    <w:rsid w:val="00272D90"/>
    <w:rsid w:val="00273A0D"/>
    <w:rsid w:val="00274A4B"/>
    <w:rsid w:val="002755B8"/>
    <w:rsid w:val="002758C5"/>
    <w:rsid w:val="00276AEC"/>
    <w:rsid w:val="00280520"/>
    <w:rsid w:val="00285DE2"/>
    <w:rsid w:val="00287429"/>
    <w:rsid w:val="00287C86"/>
    <w:rsid w:val="00287E2C"/>
    <w:rsid w:val="00290267"/>
    <w:rsid w:val="0029275B"/>
    <w:rsid w:val="0029319D"/>
    <w:rsid w:val="00293AC9"/>
    <w:rsid w:val="00294D88"/>
    <w:rsid w:val="002A0235"/>
    <w:rsid w:val="002A106E"/>
    <w:rsid w:val="002A4F42"/>
    <w:rsid w:val="002A7EFD"/>
    <w:rsid w:val="002B0F31"/>
    <w:rsid w:val="002B2DF2"/>
    <w:rsid w:val="002B6B2D"/>
    <w:rsid w:val="002B6CF0"/>
    <w:rsid w:val="002C271A"/>
    <w:rsid w:val="002C604A"/>
    <w:rsid w:val="002C6FE9"/>
    <w:rsid w:val="002D31F3"/>
    <w:rsid w:val="002D63F0"/>
    <w:rsid w:val="002D6A14"/>
    <w:rsid w:val="002D753F"/>
    <w:rsid w:val="002E1348"/>
    <w:rsid w:val="002E1465"/>
    <w:rsid w:val="002E3D7F"/>
    <w:rsid w:val="002F174D"/>
    <w:rsid w:val="002F2419"/>
    <w:rsid w:val="002F427E"/>
    <w:rsid w:val="002F43C8"/>
    <w:rsid w:val="002F6B2B"/>
    <w:rsid w:val="00301FB1"/>
    <w:rsid w:val="003100EB"/>
    <w:rsid w:val="00312F42"/>
    <w:rsid w:val="00313EA8"/>
    <w:rsid w:val="00314327"/>
    <w:rsid w:val="0031608C"/>
    <w:rsid w:val="00327F1C"/>
    <w:rsid w:val="00330D0B"/>
    <w:rsid w:val="00331278"/>
    <w:rsid w:val="00331EC9"/>
    <w:rsid w:val="00332385"/>
    <w:rsid w:val="00334295"/>
    <w:rsid w:val="003439B0"/>
    <w:rsid w:val="00344EDB"/>
    <w:rsid w:val="003520BF"/>
    <w:rsid w:val="00352E42"/>
    <w:rsid w:val="0035364C"/>
    <w:rsid w:val="00354C9C"/>
    <w:rsid w:val="00356049"/>
    <w:rsid w:val="00360CA9"/>
    <w:rsid w:val="00361065"/>
    <w:rsid w:val="0036125A"/>
    <w:rsid w:val="0036344F"/>
    <w:rsid w:val="003649EE"/>
    <w:rsid w:val="00365462"/>
    <w:rsid w:val="0036573D"/>
    <w:rsid w:val="0036671C"/>
    <w:rsid w:val="003717CB"/>
    <w:rsid w:val="00372CA3"/>
    <w:rsid w:val="003744B5"/>
    <w:rsid w:val="00374E1F"/>
    <w:rsid w:val="003757C3"/>
    <w:rsid w:val="003766E1"/>
    <w:rsid w:val="003820EE"/>
    <w:rsid w:val="003840CC"/>
    <w:rsid w:val="00387DE0"/>
    <w:rsid w:val="003942F0"/>
    <w:rsid w:val="003977CA"/>
    <w:rsid w:val="003A2707"/>
    <w:rsid w:val="003B1071"/>
    <w:rsid w:val="003B4C1F"/>
    <w:rsid w:val="003B59FB"/>
    <w:rsid w:val="003B69A6"/>
    <w:rsid w:val="003C2A5B"/>
    <w:rsid w:val="003C4F80"/>
    <w:rsid w:val="003C6674"/>
    <w:rsid w:val="003D0DD1"/>
    <w:rsid w:val="003D1790"/>
    <w:rsid w:val="003D410B"/>
    <w:rsid w:val="003D4E9F"/>
    <w:rsid w:val="003D538A"/>
    <w:rsid w:val="003D550E"/>
    <w:rsid w:val="003D7285"/>
    <w:rsid w:val="003E0E87"/>
    <w:rsid w:val="003E2983"/>
    <w:rsid w:val="003E4384"/>
    <w:rsid w:val="003E65F2"/>
    <w:rsid w:val="003E70D6"/>
    <w:rsid w:val="003E735F"/>
    <w:rsid w:val="003F26DF"/>
    <w:rsid w:val="003F2B71"/>
    <w:rsid w:val="003F5272"/>
    <w:rsid w:val="004016C0"/>
    <w:rsid w:val="00401B35"/>
    <w:rsid w:val="00402E66"/>
    <w:rsid w:val="00404616"/>
    <w:rsid w:val="00405C79"/>
    <w:rsid w:val="0040623D"/>
    <w:rsid w:val="00411E0E"/>
    <w:rsid w:val="00412989"/>
    <w:rsid w:val="004139EC"/>
    <w:rsid w:val="004166E4"/>
    <w:rsid w:val="004211C6"/>
    <w:rsid w:val="00430F82"/>
    <w:rsid w:val="004344A0"/>
    <w:rsid w:val="00434E10"/>
    <w:rsid w:val="004411F9"/>
    <w:rsid w:val="0044672E"/>
    <w:rsid w:val="00447C74"/>
    <w:rsid w:val="004520E6"/>
    <w:rsid w:val="00455435"/>
    <w:rsid w:val="004555FF"/>
    <w:rsid w:val="00455DE0"/>
    <w:rsid w:val="004613DC"/>
    <w:rsid w:val="0046328A"/>
    <w:rsid w:val="0046451B"/>
    <w:rsid w:val="00464B44"/>
    <w:rsid w:val="004664A4"/>
    <w:rsid w:val="00472AE5"/>
    <w:rsid w:val="004807F4"/>
    <w:rsid w:val="0048165F"/>
    <w:rsid w:val="00487891"/>
    <w:rsid w:val="00490855"/>
    <w:rsid w:val="00491CBB"/>
    <w:rsid w:val="00492206"/>
    <w:rsid w:val="00492A30"/>
    <w:rsid w:val="00494202"/>
    <w:rsid w:val="00495D16"/>
    <w:rsid w:val="00495EED"/>
    <w:rsid w:val="00496123"/>
    <w:rsid w:val="00496412"/>
    <w:rsid w:val="004976F0"/>
    <w:rsid w:val="0049790D"/>
    <w:rsid w:val="004A3C5B"/>
    <w:rsid w:val="004B02ED"/>
    <w:rsid w:val="004B06A6"/>
    <w:rsid w:val="004C241E"/>
    <w:rsid w:val="004C3B9A"/>
    <w:rsid w:val="004C3EC7"/>
    <w:rsid w:val="004C6097"/>
    <w:rsid w:val="004C7F01"/>
    <w:rsid w:val="004D2B73"/>
    <w:rsid w:val="004D4F87"/>
    <w:rsid w:val="004D52BE"/>
    <w:rsid w:val="004D6405"/>
    <w:rsid w:val="004E7ABA"/>
    <w:rsid w:val="004F07AE"/>
    <w:rsid w:val="004F23C8"/>
    <w:rsid w:val="004F24EF"/>
    <w:rsid w:val="004F42F5"/>
    <w:rsid w:val="004F4DEC"/>
    <w:rsid w:val="004F56B1"/>
    <w:rsid w:val="004F5877"/>
    <w:rsid w:val="00502B6D"/>
    <w:rsid w:val="005069B9"/>
    <w:rsid w:val="00511CC9"/>
    <w:rsid w:val="00512BE2"/>
    <w:rsid w:val="005155B5"/>
    <w:rsid w:val="00521765"/>
    <w:rsid w:val="00521D0A"/>
    <w:rsid w:val="00524F0B"/>
    <w:rsid w:val="005271F7"/>
    <w:rsid w:val="00531011"/>
    <w:rsid w:val="00534B61"/>
    <w:rsid w:val="00540869"/>
    <w:rsid w:val="005469DF"/>
    <w:rsid w:val="00546CA4"/>
    <w:rsid w:val="00551476"/>
    <w:rsid w:val="005532B8"/>
    <w:rsid w:val="00562D53"/>
    <w:rsid w:val="005652D2"/>
    <w:rsid w:val="00565A25"/>
    <w:rsid w:val="00571B17"/>
    <w:rsid w:val="00571E1F"/>
    <w:rsid w:val="0057241B"/>
    <w:rsid w:val="00580191"/>
    <w:rsid w:val="0058360B"/>
    <w:rsid w:val="00583DE2"/>
    <w:rsid w:val="00587660"/>
    <w:rsid w:val="005914F3"/>
    <w:rsid w:val="005916C2"/>
    <w:rsid w:val="005929E2"/>
    <w:rsid w:val="005948AF"/>
    <w:rsid w:val="00595FEB"/>
    <w:rsid w:val="00597E8A"/>
    <w:rsid w:val="005A2A81"/>
    <w:rsid w:val="005A3104"/>
    <w:rsid w:val="005A40BF"/>
    <w:rsid w:val="005A47BE"/>
    <w:rsid w:val="005A5CA9"/>
    <w:rsid w:val="005A7034"/>
    <w:rsid w:val="005B04ED"/>
    <w:rsid w:val="005B0CEF"/>
    <w:rsid w:val="005B2532"/>
    <w:rsid w:val="005B540A"/>
    <w:rsid w:val="005B54E6"/>
    <w:rsid w:val="005B7E43"/>
    <w:rsid w:val="005C4737"/>
    <w:rsid w:val="005C7F33"/>
    <w:rsid w:val="005D2418"/>
    <w:rsid w:val="005D448D"/>
    <w:rsid w:val="005D49C4"/>
    <w:rsid w:val="005D659E"/>
    <w:rsid w:val="005E1520"/>
    <w:rsid w:val="005E2490"/>
    <w:rsid w:val="005E39B7"/>
    <w:rsid w:val="005E3A7E"/>
    <w:rsid w:val="005E7400"/>
    <w:rsid w:val="005F2111"/>
    <w:rsid w:val="005F21B9"/>
    <w:rsid w:val="005F5E37"/>
    <w:rsid w:val="005F78A1"/>
    <w:rsid w:val="005F7D22"/>
    <w:rsid w:val="00601739"/>
    <w:rsid w:val="006062E7"/>
    <w:rsid w:val="006125A9"/>
    <w:rsid w:val="00614397"/>
    <w:rsid w:val="00617697"/>
    <w:rsid w:val="00617D42"/>
    <w:rsid w:val="00620279"/>
    <w:rsid w:val="006228FF"/>
    <w:rsid w:val="006238C6"/>
    <w:rsid w:val="006252A3"/>
    <w:rsid w:val="006257E8"/>
    <w:rsid w:val="00625BDA"/>
    <w:rsid w:val="006405CF"/>
    <w:rsid w:val="00640DF3"/>
    <w:rsid w:val="0064537C"/>
    <w:rsid w:val="00646D32"/>
    <w:rsid w:val="006473E1"/>
    <w:rsid w:val="00647D0E"/>
    <w:rsid w:val="006613C2"/>
    <w:rsid w:val="006615F1"/>
    <w:rsid w:val="00661B50"/>
    <w:rsid w:val="00661D44"/>
    <w:rsid w:val="00662705"/>
    <w:rsid w:val="00663EA4"/>
    <w:rsid w:val="00663EDD"/>
    <w:rsid w:val="00664092"/>
    <w:rsid w:val="0066495D"/>
    <w:rsid w:val="00664BA2"/>
    <w:rsid w:val="00664E26"/>
    <w:rsid w:val="00665571"/>
    <w:rsid w:val="00665871"/>
    <w:rsid w:val="00665E75"/>
    <w:rsid w:val="00667028"/>
    <w:rsid w:val="00667265"/>
    <w:rsid w:val="0066760A"/>
    <w:rsid w:val="006870D7"/>
    <w:rsid w:val="006877A7"/>
    <w:rsid w:val="00687C76"/>
    <w:rsid w:val="00690132"/>
    <w:rsid w:val="0069197A"/>
    <w:rsid w:val="006968C9"/>
    <w:rsid w:val="006A27DC"/>
    <w:rsid w:val="006A319F"/>
    <w:rsid w:val="006A32A1"/>
    <w:rsid w:val="006A3FFA"/>
    <w:rsid w:val="006A5679"/>
    <w:rsid w:val="006A60E8"/>
    <w:rsid w:val="006A6B9B"/>
    <w:rsid w:val="006B2939"/>
    <w:rsid w:val="006B3366"/>
    <w:rsid w:val="006B465F"/>
    <w:rsid w:val="006C0CC9"/>
    <w:rsid w:val="006C1860"/>
    <w:rsid w:val="006D3AAD"/>
    <w:rsid w:val="006D6FA7"/>
    <w:rsid w:val="006D7F50"/>
    <w:rsid w:val="006E1171"/>
    <w:rsid w:val="006E34DB"/>
    <w:rsid w:val="006E4024"/>
    <w:rsid w:val="006E564A"/>
    <w:rsid w:val="006E6BA4"/>
    <w:rsid w:val="006F357F"/>
    <w:rsid w:val="006F52C7"/>
    <w:rsid w:val="007015F4"/>
    <w:rsid w:val="007064F8"/>
    <w:rsid w:val="007066CD"/>
    <w:rsid w:val="00706E02"/>
    <w:rsid w:val="00710CDF"/>
    <w:rsid w:val="00711AEE"/>
    <w:rsid w:val="00720717"/>
    <w:rsid w:val="00721013"/>
    <w:rsid w:val="00721344"/>
    <w:rsid w:val="00721B1F"/>
    <w:rsid w:val="0072387F"/>
    <w:rsid w:val="007247C7"/>
    <w:rsid w:val="00727135"/>
    <w:rsid w:val="007301D3"/>
    <w:rsid w:val="00730434"/>
    <w:rsid w:val="00741B4A"/>
    <w:rsid w:val="00742C68"/>
    <w:rsid w:val="007442C0"/>
    <w:rsid w:val="00745401"/>
    <w:rsid w:val="00745D8B"/>
    <w:rsid w:val="00747868"/>
    <w:rsid w:val="007511F1"/>
    <w:rsid w:val="00751594"/>
    <w:rsid w:val="00752683"/>
    <w:rsid w:val="007546AE"/>
    <w:rsid w:val="00756519"/>
    <w:rsid w:val="007571D6"/>
    <w:rsid w:val="00760213"/>
    <w:rsid w:val="00761AF2"/>
    <w:rsid w:val="00761DB3"/>
    <w:rsid w:val="00766B51"/>
    <w:rsid w:val="0077017F"/>
    <w:rsid w:val="00774FA6"/>
    <w:rsid w:val="00776E11"/>
    <w:rsid w:val="00781919"/>
    <w:rsid w:val="00784DCA"/>
    <w:rsid w:val="0078639C"/>
    <w:rsid w:val="00793C9F"/>
    <w:rsid w:val="007A19AE"/>
    <w:rsid w:val="007A1B0A"/>
    <w:rsid w:val="007A30BC"/>
    <w:rsid w:val="007A38A9"/>
    <w:rsid w:val="007A7FC8"/>
    <w:rsid w:val="007B23B2"/>
    <w:rsid w:val="007B2D7C"/>
    <w:rsid w:val="007B7270"/>
    <w:rsid w:val="007C1FFD"/>
    <w:rsid w:val="007C36A5"/>
    <w:rsid w:val="007C43BF"/>
    <w:rsid w:val="007C49ED"/>
    <w:rsid w:val="007C55A0"/>
    <w:rsid w:val="007D0CA9"/>
    <w:rsid w:val="007D246F"/>
    <w:rsid w:val="007D2FE5"/>
    <w:rsid w:val="007D4F72"/>
    <w:rsid w:val="007D6260"/>
    <w:rsid w:val="007E0E2C"/>
    <w:rsid w:val="007E1438"/>
    <w:rsid w:val="007E2E63"/>
    <w:rsid w:val="007E3374"/>
    <w:rsid w:val="007E41FC"/>
    <w:rsid w:val="007E7F6B"/>
    <w:rsid w:val="007F0526"/>
    <w:rsid w:val="007F1C2B"/>
    <w:rsid w:val="007F6A97"/>
    <w:rsid w:val="00801012"/>
    <w:rsid w:val="00802756"/>
    <w:rsid w:val="00802EC0"/>
    <w:rsid w:val="00807705"/>
    <w:rsid w:val="00807C87"/>
    <w:rsid w:val="00810A6B"/>
    <w:rsid w:val="00813034"/>
    <w:rsid w:val="008173E7"/>
    <w:rsid w:val="00824D9C"/>
    <w:rsid w:val="008320B3"/>
    <w:rsid w:val="00834D5D"/>
    <w:rsid w:val="00835D76"/>
    <w:rsid w:val="00836D31"/>
    <w:rsid w:val="00836E06"/>
    <w:rsid w:val="00841D77"/>
    <w:rsid w:val="008439C5"/>
    <w:rsid w:val="0085296A"/>
    <w:rsid w:val="0086470F"/>
    <w:rsid w:val="00866A90"/>
    <w:rsid w:val="00866E98"/>
    <w:rsid w:val="00871BA5"/>
    <w:rsid w:val="00873682"/>
    <w:rsid w:val="00877E8A"/>
    <w:rsid w:val="0088122A"/>
    <w:rsid w:val="00882259"/>
    <w:rsid w:val="008829B4"/>
    <w:rsid w:val="00886519"/>
    <w:rsid w:val="00887B5D"/>
    <w:rsid w:val="008902A6"/>
    <w:rsid w:val="008926C3"/>
    <w:rsid w:val="00893CCF"/>
    <w:rsid w:val="008A283C"/>
    <w:rsid w:val="008A3B77"/>
    <w:rsid w:val="008A70B2"/>
    <w:rsid w:val="008A7107"/>
    <w:rsid w:val="008A77F2"/>
    <w:rsid w:val="008B1794"/>
    <w:rsid w:val="008B3CC4"/>
    <w:rsid w:val="008B4F80"/>
    <w:rsid w:val="008C0520"/>
    <w:rsid w:val="008C05BB"/>
    <w:rsid w:val="008C4F3E"/>
    <w:rsid w:val="008D4253"/>
    <w:rsid w:val="008D56A1"/>
    <w:rsid w:val="008E548B"/>
    <w:rsid w:val="008E6564"/>
    <w:rsid w:val="008F1224"/>
    <w:rsid w:val="008F1B58"/>
    <w:rsid w:val="008F1C4C"/>
    <w:rsid w:val="008F1F91"/>
    <w:rsid w:val="008F5D51"/>
    <w:rsid w:val="00901B2E"/>
    <w:rsid w:val="00906520"/>
    <w:rsid w:val="0090689D"/>
    <w:rsid w:val="00906BF8"/>
    <w:rsid w:val="009112B0"/>
    <w:rsid w:val="00912B9E"/>
    <w:rsid w:val="009130C8"/>
    <w:rsid w:val="00914410"/>
    <w:rsid w:val="00923049"/>
    <w:rsid w:val="00923497"/>
    <w:rsid w:val="009250BF"/>
    <w:rsid w:val="009259CA"/>
    <w:rsid w:val="00931766"/>
    <w:rsid w:val="00933402"/>
    <w:rsid w:val="0093697B"/>
    <w:rsid w:val="00944C27"/>
    <w:rsid w:val="00945EBC"/>
    <w:rsid w:val="009503AB"/>
    <w:rsid w:val="00950814"/>
    <w:rsid w:val="00950B9C"/>
    <w:rsid w:val="00951DFD"/>
    <w:rsid w:val="00953B63"/>
    <w:rsid w:val="009620A1"/>
    <w:rsid w:val="00965765"/>
    <w:rsid w:val="009663DF"/>
    <w:rsid w:val="00973F84"/>
    <w:rsid w:val="00975862"/>
    <w:rsid w:val="009779DE"/>
    <w:rsid w:val="00977DA3"/>
    <w:rsid w:val="00985BEB"/>
    <w:rsid w:val="009949F4"/>
    <w:rsid w:val="00997E17"/>
    <w:rsid w:val="00997E28"/>
    <w:rsid w:val="009A2C67"/>
    <w:rsid w:val="009A3D91"/>
    <w:rsid w:val="009A4896"/>
    <w:rsid w:val="009A7217"/>
    <w:rsid w:val="009B00B2"/>
    <w:rsid w:val="009B07FB"/>
    <w:rsid w:val="009B0B24"/>
    <w:rsid w:val="009B1ABB"/>
    <w:rsid w:val="009B4F86"/>
    <w:rsid w:val="009B7292"/>
    <w:rsid w:val="009C03A3"/>
    <w:rsid w:val="009C0960"/>
    <w:rsid w:val="009C1402"/>
    <w:rsid w:val="009C367A"/>
    <w:rsid w:val="009C367D"/>
    <w:rsid w:val="009C4596"/>
    <w:rsid w:val="009C5938"/>
    <w:rsid w:val="009C648D"/>
    <w:rsid w:val="009C791E"/>
    <w:rsid w:val="009C7A7A"/>
    <w:rsid w:val="009D1C19"/>
    <w:rsid w:val="009D2748"/>
    <w:rsid w:val="009D4B8D"/>
    <w:rsid w:val="009D6CB9"/>
    <w:rsid w:val="009D7045"/>
    <w:rsid w:val="009E5A86"/>
    <w:rsid w:val="009F37EB"/>
    <w:rsid w:val="009F4352"/>
    <w:rsid w:val="00A00FE9"/>
    <w:rsid w:val="00A02AF5"/>
    <w:rsid w:val="00A032FD"/>
    <w:rsid w:val="00A077D8"/>
    <w:rsid w:val="00A102F4"/>
    <w:rsid w:val="00A12B59"/>
    <w:rsid w:val="00A135A8"/>
    <w:rsid w:val="00A1439D"/>
    <w:rsid w:val="00A178CC"/>
    <w:rsid w:val="00A22695"/>
    <w:rsid w:val="00A25728"/>
    <w:rsid w:val="00A259A2"/>
    <w:rsid w:val="00A26530"/>
    <w:rsid w:val="00A30A31"/>
    <w:rsid w:val="00A30F3E"/>
    <w:rsid w:val="00A31691"/>
    <w:rsid w:val="00A33857"/>
    <w:rsid w:val="00A34C5A"/>
    <w:rsid w:val="00A36B99"/>
    <w:rsid w:val="00A45652"/>
    <w:rsid w:val="00A5237F"/>
    <w:rsid w:val="00A52995"/>
    <w:rsid w:val="00A548E8"/>
    <w:rsid w:val="00A6205E"/>
    <w:rsid w:val="00A62947"/>
    <w:rsid w:val="00A6452B"/>
    <w:rsid w:val="00A8259C"/>
    <w:rsid w:val="00A83398"/>
    <w:rsid w:val="00A83591"/>
    <w:rsid w:val="00A837E7"/>
    <w:rsid w:val="00A84D9E"/>
    <w:rsid w:val="00A85A28"/>
    <w:rsid w:val="00A870C8"/>
    <w:rsid w:val="00A87A47"/>
    <w:rsid w:val="00A902DE"/>
    <w:rsid w:val="00A95B6C"/>
    <w:rsid w:val="00AA4258"/>
    <w:rsid w:val="00AA4D84"/>
    <w:rsid w:val="00AA5C1F"/>
    <w:rsid w:val="00AA7DFA"/>
    <w:rsid w:val="00AB1C05"/>
    <w:rsid w:val="00AB2220"/>
    <w:rsid w:val="00AB4F60"/>
    <w:rsid w:val="00AC04BE"/>
    <w:rsid w:val="00AC04DD"/>
    <w:rsid w:val="00AC0CE0"/>
    <w:rsid w:val="00AC5782"/>
    <w:rsid w:val="00AD0818"/>
    <w:rsid w:val="00AD41BC"/>
    <w:rsid w:val="00AD5F4D"/>
    <w:rsid w:val="00AD5F61"/>
    <w:rsid w:val="00AD6A44"/>
    <w:rsid w:val="00AE65BE"/>
    <w:rsid w:val="00AE712F"/>
    <w:rsid w:val="00AE7155"/>
    <w:rsid w:val="00AF0E5F"/>
    <w:rsid w:val="00AF4869"/>
    <w:rsid w:val="00AF6D90"/>
    <w:rsid w:val="00AF72AA"/>
    <w:rsid w:val="00B0555B"/>
    <w:rsid w:val="00B05C38"/>
    <w:rsid w:val="00B0649F"/>
    <w:rsid w:val="00B070FA"/>
    <w:rsid w:val="00B072D1"/>
    <w:rsid w:val="00B10F26"/>
    <w:rsid w:val="00B14FB7"/>
    <w:rsid w:val="00B15AB9"/>
    <w:rsid w:val="00B2200C"/>
    <w:rsid w:val="00B24A08"/>
    <w:rsid w:val="00B27303"/>
    <w:rsid w:val="00B27EF1"/>
    <w:rsid w:val="00B30BB3"/>
    <w:rsid w:val="00B31232"/>
    <w:rsid w:val="00B32C95"/>
    <w:rsid w:val="00B33628"/>
    <w:rsid w:val="00B36C84"/>
    <w:rsid w:val="00B40B42"/>
    <w:rsid w:val="00B431B2"/>
    <w:rsid w:val="00B44F05"/>
    <w:rsid w:val="00B45DE4"/>
    <w:rsid w:val="00B47879"/>
    <w:rsid w:val="00B55143"/>
    <w:rsid w:val="00B56611"/>
    <w:rsid w:val="00B61EFB"/>
    <w:rsid w:val="00B716F3"/>
    <w:rsid w:val="00B717DD"/>
    <w:rsid w:val="00B74418"/>
    <w:rsid w:val="00B75D07"/>
    <w:rsid w:val="00B777AD"/>
    <w:rsid w:val="00B8046F"/>
    <w:rsid w:val="00B808E1"/>
    <w:rsid w:val="00B818A9"/>
    <w:rsid w:val="00B81DC3"/>
    <w:rsid w:val="00B85227"/>
    <w:rsid w:val="00B86B83"/>
    <w:rsid w:val="00B90D7A"/>
    <w:rsid w:val="00B93456"/>
    <w:rsid w:val="00B96578"/>
    <w:rsid w:val="00BA1C51"/>
    <w:rsid w:val="00BA1EFF"/>
    <w:rsid w:val="00BA2471"/>
    <w:rsid w:val="00BA3CA7"/>
    <w:rsid w:val="00BA72B2"/>
    <w:rsid w:val="00BB0FAD"/>
    <w:rsid w:val="00BB1343"/>
    <w:rsid w:val="00BB2D71"/>
    <w:rsid w:val="00BB30B9"/>
    <w:rsid w:val="00BB3240"/>
    <w:rsid w:val="00BB7415"/>
    <w:rsid w:val="00BB7B14"/>
    <w:rsid w:val="00BC1BA4"/>
    <w:rsid w:val="00BC33BB"/>
    <w:rsid w:val="00BC5644"/>
    <w:rsid w:val="00BC646A"/>
    <w:rsid w:val="00BC6D72"/>
    <w:rsid w:val="00BC763E"/>
    <w:rsid w:val="00BD0CF0"/>
    <w:rsid w:val="00BD14C4"/>
    <w:rsid w:val="00BD67BF"/>
    <w:rsid w:val="00BE2353"/>
    <w:rsid w:val="00BE43EA"/>
    <w:rsid w:val="00BE7617"/>
    <w:rsid w:val="00BF0C07"/>
    <w:rsid w:val="00BF0D2C"/>
    <w:rsid w:val="00BF259A"/>
    <w:rsid w:val="00BF38F4"/>
    <w:rsid w:val="00C01E9B"/>
    <w:rsid w:val="00C02DD1"/>
    <w:rsid w:val="00C03D16"/>
    <w:rsid w:val="00C14984"/>
    <w:rsid w:val="00C14C9D"/>
    <w:rsid w:val="00C16D88"/>
    <w:rsid w:val="00C20AE2"/>
    <w:rsid w:val="00C21129"/>
    <w:rsid w:val="00C22FAF"/>
    <w:rsid w:val="00C259B9"/>
    <w:rsid w:val="00C307BE"/>
    <w:rsid w:val="00C312B4"/>
    <w:rsid w:val="00C313BE"/>
    <w:rsid w:val="00C3214F"/>
    <w:rsid w:val="00C35983"/>
    <w:rsid w:val="00C37622"/>
    <w:rsid w:val="00C41480"/>
    <w:rsid w:val="00C42E5C"/>
    <w:rsid w:val="00C4316B"/>
    <w:rsid w:val="00C5028A"/>
    <w:rsid w:val="00C50AB7"/>
    <w:rsid w:val="00C50B4D"/>
    <w:rsid w:val="00C51D9F"/>
    <w:rsid w:val="00C51EC6"/>
    <w:rsid w:val="00C54825"/>
    <w:rsid w:val="00C552A2"/>
    <w:rsid w:val="00C66CE1"/>
    <w:rsid w:val="00C671B1"/>
    <w:rsid w:val="00C67552"/>
    <w:rsid w:val="00C713C0"/>
    <w:rsid w:val="00C72818"/>
    <w:rsid w:val="00C730FB"/>
    <w:rsid w:val="00C75381"/>
    <w:rsid w:val="00C75AF1"/>
    <w:rsid w:val="00C75B19"/>
    <w:rsid w:val="00C83EB6"/>
    <w:rsid w:val="00C86EAE"/>
    <w:rsid w:val="00C93C19"/>
    <w:rsid w:val="00C95DD9"/>
    <w:rsid w:val="00C96BC5"/>
    <w:rsid w:val="00C96D4D"/>
    <w:rsid w:val="00CA12A3"/>
    <w:rsid w:val="00CA2C1C"/>
    <w:rsid w:val="00CA34F5"/>
    <w:rsid w:val="00CA3726"/>
    <w:rsid w:val="00CA556D"/>
    <w:rsid w:val="00CA7C39"/>
    <w:rsid w:val="00CB1594"/>
    <w:rsid w:val="00CB21CF"/>
    <w:rsid w:val="00CB46AE"/>
    <w:rsid w:val="00CB62C0"/>
    <w:rsid w:val="00CC1879"/>
    <w:rsid w:val="00CC2D9F"/>
    <w:rsid w:val="00CC3CF8"/>
    <w:rsid w:val="00CC538E"/>
    <w:rsid w:val="00CD019E"/>
    <w:rsid w:val="00CD0829"/>
    <w:rsid w:val="00CE3096"/>
    <w:rsid w:val="00CE7357"/>
    <w:rsid w:val="00CE79C1"/>
    <w:rsid w:val="00CF0CA3"/>
    <w:rsid w:val="00CF311D"/>
    <w:rsid w:val="00CF4585"/>
    <w:rsid w:val="00D00996"/>
    <w:rsid w:val="00D02D5E"/>
    <w:rsid w:val="00D07D80"/>
    <w:rsid w:val="00D1047A"/>
    <w:rsid w:val="00D11160"/>
    <w:rsid w:val="00D11B13"/>
    <w:rsid w:val="00D14BA0"/>
    <w:rsid w:val="00D15189"/>
    <w:rsid w:val="00D1713C"/>
    <w:rsid w:val="00D22B4E"/>
    <w:rsid w:val="00D23A8E"/>
    <w:rsid w:val="00D27B00"/>
    <w:rsid w:val="00D318C7"/>
    <w:rsid w:val="00D35858"/>
    <w:rsid w:val="00D456BC"/>
    <w:rsid w:val="00D465AC"/>
    <w:rsid w:val="00D5035D"/>
    <w:rsid w:val="00D511F9"/>
    <w:rsid w:val="00D55FC0"/>
    <w:rsid w:val="00D55FE8"/>
    <w:rsid w:val="00D56072"/>
    <w:rsid w:val="00D56C4D"/>
    <w:rsid w:val="00D61840"/>
    <w:rsid w:val="00D630D2"/>
    <w:rsid w:val="00D64D06"/>
    <w:rsid w:val="00D65170"/>
    <w:rsid w:val="00D65A51"/>
    <w:rsid w:val="00D73360"/>
    <w:rsid w:val="00D7410D"/>
    <w:rsid w:val="00D84FE5"/>
    <w:rsid w:val="00D8580B"/>
    <w:rsid w:val="00D85CE6"/>
    <w:rsid w:val="00D86334"/>
    <w:rsid w:val="00D90C1F"/>
    <w:rsid w:val="00D92D53"/>
    <w:rsid w:val="00D96F0C"/>
    <w:rsid w:val="00DA06CC"/>
    <w:rsid w:val="00DA1A9F"/>
    <w:rsid w:val="00DA2495"/>
    <w:rsid w:val="00DA360B"/>
    <w:rsid w:val="00DA76B3"/>
    <w:rsid w:val="00DB03C3"/>
    <w:rsid w:val="00DB218F"/>
    <w:rsid w:val="00DB4069"/>
    <w:rsid w:val="00DB58B9"/>
    <w:rsid w:val="00DB734C"/>
    <w:rsid w:val="00DC044C"/>
    <w:rsid w:val="00DC0D16"/>
    <w:rsid w:val="00DC31CD"/>
    <w:rsid w:val="00DC7AE5"/>
    <w:rsid w:val="00DD1007"/>
    <w:rsid w:val="00DD4924"/>
    <w:rsid w:val="00DD63B4"/>
    <w:rsid w:val="00DE035B"/>
    <w:rsid w:val="00DE1869"/>
    <w:rsid w:val="00DE35A8"/>
    <w:rsid w:val="00DE3BD0"/>
    <w:rsid w:val="00DE5F8B"/>
    <w:rsid w:val="00DF33E6"/>
    <w:rsid w:val="00DF4552"/>
    <w:rsid w:val="00E015CC"/>
    <w:rsid w:val="00E0341B"/>
    <w:rsid w:val="00E07841"/>
    <w:rsid w:val="00E11579"/>
    <w:rsid w:val="00E11834"/>
    <w:rsid w:val="00E11B2A"/>
    <w:rsid w:val="00E130C6"/>
    <w:rsid w:val="00E155B2"/>
    <w:rsid w:val="00E20A30"/>
    <w:rsid w:val="00E21E01"/>
    <w:rsid w:val="00E21E8D"/>
    <w:rsid w:val="00E2257D"/>
    <w:rsid w:val="00E2513F"/>
    <w:rsid w:val="00E2738C"/>
    <w:rsid w:val="00E30DC0"/>
    <w:rsid w:val="00E33B97"/>
    <w:rsid w:val="00E33BED"/>
    <w:rsid w:val="00E3677A"/>
    <w:rsid w:val="00E40879"/>
    <w:rsid w:val="00E40D0A"/>
    <w:rsid w:val="00E40E1A"/>
    <w:rsid w:val="00E412F8"/>
    <w:rsid w:val="00E4339F"/>
    <w:rsid w:val="00E43C3A"/>
    <w:rsid w:val="00E45249"/>
    <w:rsid w:val="00E473E6"/>
    <w:rsid w:val="00E477B2"/>
    <w:rsid w:val="00E513B8"/>
    <w:rsid w:val="00E51A4C"/>
    <w:rsid w:val="00E5352F"/>
    <w:rsid w:val="00E54994"/>
    <w:rsid w:val="00E561F9"/>
    <w:rsid w:val="00E602C5"/>
    <w:rsid w:val="00E63727"/>
    <w:rsid w:val="00E63D25"/>
    <w:rsid w:val="00E63E01"/>
    <w:rsid w:val="00E71963"/>
    <w:rsid w:val="00E74E06"/>
    <w:rsid w:val="00E76D9B"/>
    <w:rsid w:val="00E82F72"/>
    <w:rsid w:val="00E852B7"/>
    <w:rsid w:val="00E87656"/>
    <w:rsid w:val="00E87803"/>
    <w:rsid w:val="00E908E3"/>
    <w:rsid w:val="00E94156"/>
    <w:rsid w:val="00E947AA"/>
    <w:rsid w:val="00E973F7"/>
    <w:rsid w:val="00EA07FF"/>
    <w:rsid w:val="00EA0BA6"/>
    <w:rsid w:val="00EA7A75"/>
    <w:rsid w:val="00EB3DD0"/>
    <w:rsid w:val="00EB4EEA"/>
    <w:rsid w:val="00EB6832"/>
    <w:rsid w:val="00EB7476"/>
    <w:rsid w:val="00EC196B"/>
    <w:rsid w:val="00ED0745"/>
    <w:rsid w:val="00ED1A3D"/>
    <w:rsid w:val="00ED7BCC"/>
    <w:rsid w:val="00EE366B"/>
    <w:rsid w:val="00EE413E"/>
    <w:rsid w:val="00EE49A8"/>
    <w:rsid w:val="00EE4B16"/>
    <w:rsid w:val="00EE5E4D"/>
    <w:rsid w:val="00EE62B0"/>
    <w:rsid w:val="00EF6C0C"/>
    <w:rsid w:val="00F007BF"/>
    <w:rsid w:val="00F03DCE"/>
    <w:rsid w:val="00F045DA"/>
    <w:rsid w:val="00F04A80"/>
    <w:rsid w:val="00F1223C"/>
    <w:rsid w:val="00F14701"/>
    <w:rsid w:val="00F17D53"/>
    <w:rsid w:val="00F361E0"/>
    <w:rsid w:val="00F36F09"/>
    <w:rsid w:val="00F377DA"/>
    <w:rsid w:val="00F430E0"/>
    <w:rsid w:val="00F46E84"/>
    <w:rsid w:val="00F54478"/>
    <w:rsid w:val="00F54E27"/>
    <w:rsid w:val="00F6272C"/>
    <w:rsid w:val="00F636A1"/>
    <w:rsid w:val="00F661F3"/>
    <w:rsid w:val="00F67B76"/>
    <w:rsid w:val="00F70FB4"/>
    <w:rsid w:val="00F71CB8"/>
    <w:rsid w:val="00F75200"/>
    <w:rsid w:val="00F763D6"/>
    <w:rsid w:val="00F767E8"/>
    <w:rsid w:val="00F7682D"/>
    <w:rsid w:val="00F83789"/>
    <w:rsid w:val="00F84F91"/>
    <w:rsid w:val="00FA23B3"/>
    <w:rsid w:val="00FA2AD6"/>
    <w:rsid w:val="00FA422F"/>
    <w:rsid w:val="00FA5DD3"/>
    <w:rsid w:val="00FB1356"/>
    <w:rsid w:val="00FB251A"/>
    <w:rsid w:val="00FC3923"/>
    <w:rsid w:val="00FC6402"/>
    <w:rsid w:val="00FC68C2"/>
    <w:rsid w:val="00FD46E7"/>
    <w:rsid w:val="00FD54B2"/>
    <w:rsid w:val="00FD7F3E"/>
    <w:rsid w:val="00FE12FA"/>
    <w:rsid w:val="00FE27BF"/>
    <w:rsid w:val="00FE3548"/>
    <w:rsid w:val="00FE7C59"/>
    <w:rsid w:val="00FF1A9D"/>
    <w:rsid w:val="00FF34B8"/>
    <w:rsid w:val="00FF5523"/>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1B5D1"/>
  <w15:docId w15:val="{BADBD84C-E64D-4950-8197-2DDA6D8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C2"/>
    <w:pPr>
      <w:spacing w:after="200" w:line="276" w:lineRule="auto"/>
    </w:pPr>
    <w:rPr>
      <w:sz w:val="22"/>
      <w:szCs w:val="22"/>
    </w:rPr>
  </w:style>
  <w:style w:type="paragraph" w:styleId="Heading1">
    <w:name w:val="heading 1"/>
    <w:basedOn w:val="Normal"/>
    <w:next w:val="Normal"/>
    <w:link w:val="Heading1Char"/>
    <w:uiPriority w:val="99"/>
    <w:qFormat/>
    <w:rsid w:val="00661B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B50"/>
    <w:rPr>
      <w:rFonts w:ascii="Cambria" w:hAnsi="Cambria" w:cs="Times New Roman"/>
      <w:b/>
      <w:bCs/>
      <w:color w:val="365F91"/>
      <w:sz w:val="28"/>
      <w:szCs w:val="28"/>
    </w:rPr>
  </w:style>
  <w:style w:type="paragraph" w:styleId="NoSpacing">
    <w:name w:val="No Spacing"/>
    <w:uiPriority w:val="99"/>
    <w:qFormat/>
    <w:rsid w:val="00661B50"/>
    <w:rPr>
      <w:sz w:val="22"/>
      <w:szCs w:val="22"/>
    </w:rPr>
  </w:style>
  <w:style w:type="table" w:styleId="TableGrid">
    <w:name w:val="Table Grid"/>
    <w:basedOn w:val="TableNormal"/>
    <w:uiPriority w:val="39"/>
    <w:rsid w:val="0066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4FB7"/>
    <w:rPr>
      <w:rFonts w:ascii="Tahoma" w:hAnsi="Tahoma" w:cs="Tahoma"/>
      <w:sz w:val="16"/>
      <w:szCs w:val="16"/>
    </w:rPr>
  </w:style>
  <w:style w:type="character" w:styleId="Emphasis">
    <w:name w:val="Emphasis"/>
    <w:uiPriority w:val="99"/>
    <w:qFormat/>
    <w:locked/>
    <w:rsid w:val="00E76D9B"/>
    <w:rPr>
      <w:rFonts w:cs="Times New Roman"/>
      <w:i/>
      <w:iCs/>
    </w:rPr>
  </w:style>
  <w:style w:type="paragraph" w:styleId="ListParagraph">
    <w:name w:val="List Paragraph"/>
    <w:basedOn w:val="Normal"/>
    <w:uiPriority w:val="99"/>
    <w:qFormat/>
    <w:rsid w:val="009B0B24"/>
    <w:pPr>
      <w:ind w:left="720"/>
      <w:contextualSpacing/>
    </w:pPr>
    <w:rPr>
      <w:rFonts w:asciiTheme="minorHAnsi" w:eastAsiaTheme="minorHAnsi" w:hAnsiTheme="minorHAnsi" w:cstheme="minorBidi"/>
    </w:rPr>
  </w:style>
  <w:style w:type="paragraph" w:customStyle="1" w:styleId="bodytext19">
    <w:name w:val="bodytext19"/>
    <w:basedOn w:val="Normal"/>
    <w:rsid w:val="0018337C"/>
    <w:pPr>
      <w:spacing w:before="300" w:after="24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2FE5"/>
    <w:rPr>
      <w:color w:val="0000FF" w:themeColor="hyperlink"/>
      <w:u w:val="single"/>
    </w:rPr>
  </w:style>
  <w:style w:type="character" w:styleId="FollowedHyperlink">
    <w:name w:val="FollowedHyperlink"/>
    <w:basedOn w:val="DefaultParagraphFont"/>
    <w:uiPriority w:val="99"/>
    <w:semiHidden/>
    <w:unhideWhenUsed/>
    <w:rsid w:val="007D2FE5"/>
    <w:rPr>
      <w:color w:val="800080" w:themeColor="followedHyperlink"/>
      <w:u w:val="single"/>
    </w:rPr>
  </w:style>
  <w:style w:type="paragraph" w:styleId="Header">
    <w:name w:val="header"/>
    <w:basedOn w:val="Normal"/>
    <w:link w:val="HeaderChar"/>
    <w:uiPriority w:val="99"/>
    <w:unhideWhenUsed/>
    <w:rsid w:val="00FC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02"/>
    <w:rPr>
      <w:sz w:val="22"/>
      <w:szCs w:val="22"/>
    </w:rPr>
  </w:style>
  <w:style w:type="paragraph" w:styleId="Footer">
    <w:name w:val="footer"/>
    <w:basedOn w:val="Normal"/>
    <w:link w:val="FooterChar"/>
    <w:uiPriority w:val="99"/>
    <w:unhideWhenUsed/>
    <w:rsid w:val="00F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02"/>
    <w:rPr>
      <w:sz w:val="22"/>
      <w:szCs w:val="22"/>
    </w:rPr>
  </w:style>
  <w:style w:type="table" w:customStyle="1" w:styleId="TableGrid1">
    <w:name w:val="Table Grid1"/>
    <w:basedOn w:val="TableNormal"/>
    <w:next w:val="TableGrid"/>
    <w:rsid w:val="000F3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1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580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7742">
      <w:bodyDiv w:val="1"/>
      <w:marLeft w:val="0"/>
      <w:marRight w:val="0"/>
      <w:marTop w:val="0"/>
      <w:marBottom w:val="0"/>
      <w:divBdr>
        <w:top w:val="none" w:sz="0" w:space="0" w:color="auto"/>
        <w:left w:val="none" w:sz="0" w:space="0" w:color="auto"/>
        <w:bottom w:val="none" w:sz="0" w:space="0" w:color="auto"/>
        <w:right w:val="none" w:sz="0" w:space="0" w:color="auto"/>
      </w:divBdr>
    </w:div>
    <w:div w:id="627008611">
      <w:bodyDiv w:val="1"/>
      <w:marLeft w:val="0"/>
      <w:marRight w:val="0"/>
      <w:marTop w:val="0"/>
      <w:marBottom w:val="0"/>
      <w:divBdr>
        <w:top w:val="none" w:sz="0" w:space="0" w:color="auto"/>
        <w:left w:val="none" w:sz="0" w:space="0" w:color="auto"/>
        <w:bottom w:val="none" w:sz="0" w:space="0" w:color="auto"/>
        <w:right w:val="none" w:sz="0" w:space="0" w:color="auto"/>
      </w:divBdr>
      <w:divsChild>
        <w:div w:id="923565232">
          <w:marLeft w:val="0"/>
          <w:marRight w:val="0"/>
          <w:marTop w:val="0"/>
          <w:marBottom w:val="0"/>
          <w:divBdr>
            <w:top w:val="none" w:sz="0" w:space="0" w:color="auto"/>
            <w:left w:val="none" w:sz="0" w:space="0" w:color="auto"/>
            <w:bottom w:val="none" w:sz="0" w:space="0" w:color="auto"/>
            <w:right w:val="none" w:sz="0" w:space="0" w:color="auto"/>
          </w:divBdr>
          <w:divsChild>
            <w:div w:id="787621795">
              <w:marLeft w:val="0"/>
              <w:marRight w:val="0"/>
              <w:marTop w:val="0"/>
              <w:marBottom w:val="0"/>
              <w:divBdr>
                <w:top w:val="none" w:sz="0" w:space="0" w:color="auto"/>
                <w:left w:val="none" w:sz="0" w:space="0" w:color="auto"/>
                <w:bottom w:val="none" w:sz="0" w:space="0" w:color="auto"/>
                <w:right w:val="none" w:sz="0" w:space="0" w:color="auto"/>
              </w:divBdr>
              <w:divsChild>
                <w:div w:id="1037857281">
                  <w:marLeft w:val="0"/>
                  <w:marRight w:val="0"/>
                  <w:marTop w:val="0"/>
                  <w:marBottom w:val="0"/>
                  <w:divBdr>
                    <w:top w:val="none" w:sz="0" w:space="0" w:color="auto"/>
                    <w:left w:val="none" w:sz="0" w:space="0" w:color="auto"/>
                    <w:bottom w:val="none" w:sz="0" w:space="0" w:color="auto"/>
                    <w:right w:val="none" w:sz="0" w:space="0" w:color="auto"/>
                  </w:divBdr>
                  <w:divsChild>
                    <w:div w:id="1546794603">
                      <w:marLeft w:val="0"/>
                      <w:marRight w:val="0"/>
                      <w:marTop w:val="0"/>
                      <w:marBottom w:val="0"/>
                      <w:divBdr>
                        <w:top w:val="none" w:sz="0" w:space="0" w:color="auto"/>
                        <w:left w:val="none" w:sz="0" w:space="0" w:color="auto"/>
                        <w:bottom w:val="none" w:sz="0" w:space="0" w:color="auto"/>
                        <w:right w:val="none" w:sz="0" w:space="0" w:color="auto"/>
                      </w:divBdr>
                      <w:divsChild>
                        <w:div w:id="789709907">
                          <w:marLeft w:val="0"/>
                          <w:marRight w:val="0"/>
                          <w:marTop w:val="0"/>
                          <w:marBottom w:val="0"/>
                          <w:divBdr>
                            <w:top w:val="none" w:sz="0" w:space="0" w:color="auto"/>
                            <w:left w:val="none" w:sz="0" w:space="0" w:color="auto"/>
                            <w:bottom w:val="none" w:sz="0" w:space="0" w:color="auto"/>
                            <w:right w:val="none" w:sz="0" w:space="0" w:color="auto"/>
                          </w:divBdr>
                          <w:divsChild>
                            <w:div w:id="577716056">
                              <w:marLeft w:val="0"/>
                              <w:marRight w:val="0"/>
                              <w:marTop w:val="0"/>
                              <w:marBottom w:val="0"/>
                              <w:divBdr>
                                <w:top w:val="none" w:sz="0" w:space="0" w:color="auto"/>
                                <w:left w:val="none" w:sz="0" w:space="0" w:color="auto"/>
                                <w:bottom w:val="none" w:sz="0" w:space="0" w:color="auto"/>
                                <w:right w:val="none" w:sz="0" w:space="0" w:color="auto"/>
                              </w:divBdr>
                              <w:divsChild>
                                <w:div w:id="1242370567">
                                  <w:marLeft w:val="0"/>
                                  <w:marRight w:val="0"/>
                                  <w:marTop w:val="0"/>
                                  <w:marBottom w:val="0"/>
                                  <w:divBdr>
                                    <w:top w:val="none" w:sz="0" w:space="0" w:color="auto"/>
                                    <w:left w:val="none" w:sz="0" w:space="0" w:color="auto"/>
                                    <w:bottom w:val="none" w:sz="0" w:space="0" w:color="auto"/>
                                    <w:right w:val="none" w:sz="0" w:space="0" w:color="auto"/>
                                  </w:divBdr>
                                  <w:divsChild>
                                    <w:div w:id="1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8166">
      <w:bodyDiv w:val="1"/>
      <w:marLeft w:val="0"/>
      <w:marRight w:val="0"/>
      <w:marTop w:val="0"/>
      <w:marBottom w:val="0"/>
      <w:divBdr>
        <w:top w:val="none" w:sz="0" w:space="0" w:color="auto"/>
        <w:left w:val="none" w:sz="0" w:space="0" w:color="auto"/>
        <w:bottom w:val="none" w:sz="0" w:space="0" w:color="auto"/>
        <w:right w:val="none" w:sz="0" w:space="0" w:color="auto"/>
      </w:divBdr>
      <w:divsChild>
        <w:div w:id="6297288">
          <w:marLeft w:val="0"/>
          <w:marRight w:val="0"/>
          <w:marTop w:val="0"/>
          <w:marBottom w:val="0"/>
          <w:divBdr>
            <w:top w:val="none" w:sz="0" w:space="0" w:color="auto"/>
            <w:left w:val="none" w:sz="0" w:space="0" w:color="auto"/>
            <w:bottom w:val="none" w:sz="0" w:space="0" w:color="auto"/>
            <w:right w:val="none" w:sz="0" w:space="0" w:color="auto"/>
          </w:divBdr>
        </w:div>
      </w:divsChild>
    </w:div>
    <w:div w:id="1048382111">
      <w:bodyDiv w:val="1"/>
      <w:marLeft w:val="0"/>
      <w:marRight w:val="0"/>
      <w:marTop w:val="0"/>
      <w:marBottom w:val="0"/>
      <w:divBdr>
        <w:top w:val="none" w:sz="0" w:space="0" w:color="auto"/>
        <w:left w:val="none" w:sz="0" w:space="0" w:color="auto"/>
        <w:bottom w:val="none" w:sz="0" w:space="0" w:color="auto"/>
        <w:right w:val="none" w:sz="0" w:space="0" w:color="auto"/>
      </w:divBdr>
      <w:divsChild>
        <w:div w:id="1123385261">
          <w:marLeft w:val="0"/>
          <w:marRight w:val="0"/>
          <w:marTop w:val="0"/>
          <w:marBottom w:val="0"/>
          <w:divBdr>
            <w:top w:val="none" w:sz="0" w:space="0" w:color="auto"/>
            <w:left w:val="none" w:sz="0" w:space="0" w:color="auto"/>
            <w:bottom w:val="none" w:sz="0" w:space="0" w:color="auto"/>
            <w:right w:val="none" w:sz="0" w:space="0" w:color="auto"/>
          </w:divBdr>
          <w:divsChild>
            <w:div w:id="1668555934">
              <w:marLeft w:val="0"/>
              <w:marRight w:val="0"/>
              <w:marTop w:val="0"/>
              <w:marBottom w:val="0"/>
              <w:divBdr>
                <w:top w:val="none" w:sz="0" w:space="0" w:color="auto"/>
                <w:left w:val="none" w:sz="0" w:space="0" w:color="auto"/>
                <w:bottom w:val="none" w:sz="0" w:space="0" w:color="auto"/>
                <w:right w:val="none" w:sz="0" w:space="0" w:color="auto"/>
              </w:divBdr>
              <w:divsChild>
                <w:div w:id="1202551369">
                  <w:marLeft w:val="0"/>
                  <w:marRight w:val="0"/>
                  <w:marTop w:val="0"/>
                  <w:marBottom w:val="0"/>
                  <w:divBdr>
                    <w:top w:val="none" w:sz="0" w:space="0" w:color="auto"/>
                    <w:left w:val="none" w:sz="0" w:space="0" w:color="auto"/>
                    <w:bottom w:val="none" w:sz="0" w:space="0" w:color="auto"/>
                    <w:right w:val="none" w:sz="0" w:space="0" w:color="auto"/>
                  </w:divBdr>
                  <w:divsChild>
                    <w:div w:id="2038116110">
                      <w:marLeft w:val="0"/>
                      <w:marRight w:val="0"/>
                      <w:marTop w:val="0"/>
                      <w:marBottom w:val="0"/>
                      <w:divBdr>
                        <w:top w:val="none" w:sz="0" w:space="0" w:color="auto"/>
                        <w:left w:val="none" w:sz="0" w:space="0" w:color="auto"/>
                        <w:bottom w:val="none" w:sz="0" w:space="0" w:color="auto"/>
                        <w:right w:val="none" w:sz="0" w:space="0" w:color="auto"/>
                      </w:divBdr>
                      <w:divsChild>
                        <w:div w:id="832836015">
                          <w:marLeft w:val="0"/>
                          <w:marRight w:val="0"/>
                          <w:marTop w:val="0"/>
                          <w:marBottom w:val="0"/>
                          <w:divBdr>
                            <w:top w:val="none" w:sz="0" w:space="0" w:color="auto"/>
                            <w:left w:val="none" w:sz="0" w:space="0" w:color="auto"/>
                            <w:bottom w:val="none" w:sz="0" w:space="0" w:color="auto"/>
                            <w:right w:val="none" w:sz="0" w:space="0" w:color="auto"/>
                          </w:divBdr>
                          <w:divsChild>
                            <w:div w:id="1754351275">
                              <w:marLeft w:val="0"/>
                              <w:marRight w:val="0"/>
                              <w:marTop w:val="0"/>
                              <w:marBottom w:val="0"/>
                              <w:divBdr>
                                <w:top w:val="none" w:sz="0" w:space="0" w:color="auto"/>
                                <w:left w:val="none" w:sz="0" w:space="0" w:color="auto"/>
                                <w:bottom w:val="none" w:sz="0" w:space="0" w:color="auto"/>
                                <w:right w:val="none" w:sz="0" w:space="0" w:color="auto"/>
                              </w:divBdr>
                              <w:divsChild>
                                <w:div w:id="1206480553">
                                  <w:marLeft w:val="0"/>
                                  <w:marRight w:val="0"/>
                                  <w:marTop w:val="0"/>
                                  <w:marBottom w:val="0"/>
                                  <w:divBdr>
                                    <w:top w:val="none" w:sz="0" w:space="0" w:color="auto"/>
                                    <w:left w:val="none" w:sz="0" w:space="0" w:color="auto"/>
                                    <w:bottom w:val="none" w:sz="0" w:space="0" w:color="auto"/>
                                    <w:right w:val="none" w:sz="0" w:space="0" w:color="auto"/>
                                  </w:divBdr>
                                  <w:divsChild>
                                    <w:div w:id="2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873">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679622151">
              <w:marLeft w:val="0"/>
              <w:marRight w:val="0"/>
              <w:marTop w:val="0"/>
              <w:marBottom w:val="0"/>
              <w:divBdr>
                <w:top w:val="none" w:sz="0" w:space="0" w:color="auto"/>
                <w:left w:val="none" w:sz="0" w:space="0" w:color="auto"/>
                <w:bottom w:val="none" w:sz="0" w:space="0" w:color="auto"/>
                <w:right w:val="none" w:sz="0" w:space="0" w:color="auto"/>
              </w:divBdr>
              <w:divsChild>
                <w:div w:id="610671028">
                  <w:marLeft w:val="0"/>
                  <w:marRight w:val="0"/>
                  <w:marTop w:val="0"/>
                  <w:marBottom w:val="0"/>
                  <w:divBdr>
                    <w:top w:val="none" w:sz="0" w:space="0" w:color="auto"/>
                    <w:left w:val="none" w:sz="0" w:space="0" w:color="auto"/>
                    <w:bottom w:val="none" w:sz="0" w:space="0" w:color="auto"/>
                    <w:right w:val="none" w:sz="0" w:space="0" w:color="auto"/>
                  </w:divBdr>
                  <w:divsChild>
                    <w:div w:id="637686867">
                      <w:marLeft w:val="0"/>
                      <w:marRight w:val="0"/>
                      <w:marTop w:val="0"/>
                      <w:marBottom w:val="0"/>
                      <w:divBdr>
                        <w:top w:val="none" w:sz="0" w:space="0" w:color="auto"/>
                        <w:left w:val="none" w:sz="0" w:space="0" w:color="auto"/>
                        <w:bottom w:val="none" w:sz="0" w:space="0" w:color="auto"/>
                        <w:right w:val="none" w:sz="0" w:space="0" w:color="auto"/>
                      </w:divBdr>
                      <w:divsChild>
                        <w:div w:id="1689064026">
                          <w:marLeft w:val="0"/>
                          <w:marRight w:val="0"/>
                          <w:marTop w:val="0"/>
                          <w:marBottom w:val="0"/>
                          <w:divBdr>
                            <w:top w:val="none" w:sz="0" w:space="0" w:color="auto"/>
                            <w:left w:val="none" w:sz="0" w:space="0" w:color="auto"/>
                            <w:bottom w:val="none" w:sz="0" w:space="0" w:color="auto"/>
                            <w:right w:val="none" w:sz="0" w:space="0" w:color="auto"/>
                          </w:divBdr>
                          <w:divsChild>
                            <w:div w:id="792796972">
                              <w:marLeft w:val="0"/>
                              <w:marRight w:val="0"/>
                              <w:marTop w:val="0"/>
                              <w:marBottom w:val="0"/>
                              <w:divBdr>
                                <w:top w:val="none" w:sz="0" w:space="0" w:color="auto"/>
                                <w:left w:val="none" w:sz="0" w:space="0" w:color="auto"/>
                                <w:bottom w:val="none" w:sz="0" w:space="0" w:color="auto"/>
                                <w:right w:val="none" w:sz="0" w:space="0" w:color="auto"/>
                              </w:divBdr>
                              <w:divsChild>
                                <w:div w:id="276066086">
                                  <w:marLeft w:val="0"/>
                                  <w:marRight w:val="0"/>
                                  <w:marTop w:val="0"/>
                                  <w:marBottom w:val="0"/>
                                  <w:divBdr>
                                    <w:top w:val="none" w:sz="0" w:space="0" w:color="auto"/>
                                    <w:left w:val="none" w:sz="0" w:space="0" w:color="auto"/>
                                    <w:bottom w:val="none" w:sz="0" w:space="0" w:color="auto"/>
                                    <w:right w:val="none" w:sz="0" w:space="0" w:color="auto"/>
                                  </w:divBdr>
                                  <w:divsChild>
                                    <w:div w:id="1628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15737">
      <w:bodyDiv w:val="1"/>
      <w:marLeft w:val="0"/>
      <w:marRight w:val="0"/>
      <w:marTop w:val="0"/>
      <w:marBottom w:val="0"/>
      <w:divBdr>
        <w:top w:val="none" w:sz="0" w:space="0" w:color="auto"/>
        <w:left w:val="none" w:sz="0" w:space="0" w:color="auto"/>
        <w:bottom w:val="none" w:sz="0" w:space="0" w:color="auto"/>
        <w:right w:val="none" w:sz="0" w:space="0" w:color="auto"/>
      </w:divBdr>
    </w:div>
    <w:div w:id="1374235888">
      <w:marLeft w:val="0"/>
      <w:marRight w:val="0"/>
      <w:marTop w:val="0"/>
      <w:marBottom w:val="0"/>
      <w:divBdr>
        <w:top w:val="none" w:sz="0" w:space="0" w:color="auto"/>
        <w:left w:val="none" w:sz="0" w:space="0" w:color="auto"/>
        <w:bottom w:val="none" w:sz="0" w:space="0" w:color="auto"/>
        <w:right w:val="none" w:sz="0" w:space="0" w:color="auto"/>
      </w:divBdr>
    </w:div>
    <w:div w:id="1661735226">
      <w:bodyDiv w:val="1"/>
      <w:marLeft w:val="0"/>
      <w:marRight w:val="0"/>
      <w:marTop w:val="0"/>
      <w:marBottom w:val="0"/>
      <w:divBdr>
        <w:top w:val="none" w:sz="0" w:space="0" w:color="auto"/>
        <w:left w:val="none" w:sz="0" w:space="0" w:color="auto"/>
        <w:bottom w:val="none" w:sz="0" w:space="0" w:color="auto"/>
        <w:right w:val="none" w:sz="0" w:space="0" w:color="auto"/>
      </w:divBdr>
      <w:divsChild>
        <w:div w:id="2064253955">
          <w:marLeft w:val="0"/>
          <w:marRight w:val="0"/>
          <w:marTop w:val="0"/>
          <w:marBottom w:val="0"/>
          <w:divBdr>
            <w:top w:val="none" w:sz="0" w:space="0" w:color="auto"/>
            <w:left w:val="none" w:sz="0" w:space="0" w:color="auto"/>
            <w:bottom w:val="none" w:sz="0" w:space="0" w:color="auto"/>
            <w:right w:val="none" w:sz="0" w:space="0" w:color="auto"/>
          </w:divBdr>
          <w:divsChild>
            <w:div w:id="1442531550">
              <w:marLeft w:val="0"/>
              <w:marRight w:val="0"/>
              <w:marTop w:val="0"/>
              <w:marBottom w:val="0"/>
              <w:divBdr>
                <w:top w:val="none" w:sz="0" w:space="0" w:color="auto"/>
                <w:left w:val="none" w:sz="0" w:space="0" w:color="auto"/>
                <w:bottom w:val="none" w:sz="0" w:space="0" w:color="auto"/>
                <w:right w:val="none" w:sz="0" w:space="0" w:color="auto"/>
              </w:divBdr>
              <w:divsChild>
                <w:div w:id="415129736">
                  <w:marLeft w:val="0"/>
                  <w:marRight w:val="0"/>
                  <w:marTop w:val="0"/>
                  <w:marBottom w:val="0"/>
                  <w:divBdr>
                    <w:top w:val="none" w:sz="0" w:space="0" w:color="auto"/>
                    <w:left w:val="none" w:sz="0" w:space="0" w:color="auto"/>
                    <w:bottom w:val="none" w:sz="0" w:space="0" w:color="auto"/>
                    <w:right w:val="none" w:sz="0" w:space="0" w:color="auto"/>
                  </w:divBdr>
                  <w:divsChild>
                    <w:div w:id="1217472492">
                      <w:marLeft w:val="0"/>
                      <w:marRight w:val="0"/>
                      <w:marTop w:val="0"/>
                      <w:marBottom w:val="0"/>
                      <w:divBdr>
                        <w:top w:val="none" w:sz="0" w:space="0" w:color="auto"/>
                        <w:left w:val="none" w:sz="0" w:space="0" w:color="auto"/>
                        <w:bottom w:val="none" w:sz="0" w:space="0" w:color="auto"/>
                        <w:right w:val="none" w:sz="0" w:space="0" w:color="auto"/>
                      </w:divBdr>
                      <w:divsChild>
                        <w:div w:id="1762221795">
                          <w:marLeft w:val="0"/>
                          <w:marRight w:val="0"/>
                          <w:marTop w:val="0"/>
                          <w:marBottom w:val="0"/>
                          <w:divBdr>
                            <w:top w:val="none" w:sz="0" w:space="0" w:color="auto"/>
                            <w:left w:val="none" w:sz="0" w:space="0" w:color="auto"/>
                            <w:bottom w:val="none" w:sz="0" w:space="0" w:color="auto"/>
                            <w:right w:val="none" w:sz="0" w:space="0" w:color="auto"/>
                          </w:divBdr>
                          <w:divsChild>
                            <w:div w:id="1649479006">
                              <w:marLeft w:val="0"/>
                              <w:marRight w:val="0"/>
                              <w:marTop w:val="0"/>
                              <w:marBottom w:val="0"/>
                              <w:divBdr>
                                <w:top w:val="none" w:sz="0" w:space="0" w:color="auto"/>
                                <w:left w:val="none" w:sz="0" w:space="0" w:color="auto"/>
                                <w:bottom w:val="none" w:sz="0" w:space="0" w:color="auto"/>
                                <w:right w:val="none" w:sz="0" w:space="0" w:color="auto"/>
                              </w:divBdr>
                              <w:divsChild>
                                <w:div w:id="2019306702">
                                  <w:marLeft w:val="0"/>
                                  <w:marRight w:val="0"/>
                                  <w:marTop w:val="0"/>
                                  <w:marBottom w:val="0"/>
                                  <w:divBdr>
                                    <w:top w:val="none" w:sz="0" w:space="0" w:color="auto"/>
                                    <w:left w:val="none" w:sz="0" w:space="0" w:color="auto"/>
                                    <w:bottom w:val="none" w:sz="0" w:space="0" w:color="auto"/>
                                    <w:right w:val="none" w:sz="0" w:space="0" w:color="auto"/>
                                  </w:divBdr>
                                  <w:divsChild>
                                    <w:div w:id="2004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474651">
      <w:bodyDiv w:val="1"/>
      <w:marLeft w:val="75"/>
      <w:marRight w:val="0"/>
      <w:marTop w:val="0"/>
      <w:marBottom w:val="0"/>
      <w:divBdr>
        <w:top w:val="none" w:sz="0" w:space="0" w:color="auto"/>
        <w:left w:val="none" w:sz="0" w:space="0" w:color="auto"/>
        <w:bottom w:val="none" w:sz="0" w:space="0" w:color="auto"/>
        <w:right w:val="none" w:sz="0" w:space="0" w:color="auto"/>
      </w:divBdr>
      <w:divsChild>
        <w:div w:id="359743428">
          <w:marLeft w:val="0"/>
          <w:marRight w:val="0"/>
          <w:marTop w:val="0"/>
          <w:marBottom w:val="0"/>
          <w:divBdr>
            <w:top w:val="none" w:sz="0" w:space="0" w:color="auto"/>
            <w:left w:val="none" w:sz="0" w:space="0" w:color="auto"/>
            <w:bottom w:val="none" w:sz="0" w:space="0" w:color="auto"/>
            <w:right w:val="none" w:sz="0" w:space="0" w:color="auto"/>
          </w:divBdr>
          <w:divsChild>
            <w:div w:id="21328317">
              <w:marLeft w:val="0"/>
              <w:marRight w:val="0"/>
              <w:marTop w:val="0"/>
              <w:marBottom w:val="0"/>
              <w:divBdr>
                <w:top w:val="none" w:sz="0" w:space="0" w:color="auto"/>
                <w:left w:val="none" w:sz="0" w:space="0" w:color="auto"/>
                <w:bottom w:val="none" w:sz="0" w:space="0" w:color="auto"/>
                <w:right w:val="none" w:sz="0" w:space="0" w:color="auto"/>
              </w:divBdr>
              <w:divsChild>
                <w:div w:id="1555509765">
                  <w:marLeft w:val="0"/>
                  <w:marRight w:val="0"/>
                  <w:marTop w:val="0"/>
                  <w:marBottom w:val="0"/>
                  <w:divBdr>
                    <w:top w:val="none" w:sz="0" w:space="0" w:color="auto"/>
                    <w:left w:val="none" w:sz="0" w:space="0" w:color="auto"/>
                    <w:bottom w:val="none" w:sz="0" w:space="0" w:color="auto"/>
                    <w:right w:val="none" w:sz="0" w:space="0" w:color="auto"/>
                  </w:divBdr>
                  <w:divsChild>
                    <w:div w:id="1287277546">
                      <w:marLeft w:val="0"/>
                      <w:marRight w:val="0"/>
                      <w:marTop w:val="0"/>
                      <w:marBottom w:val="0"/>
                      <w:divBdr>
                        <w:top w:val="none" w:sz="0" w:space="0" w:color="auto"/>
                        <w:left w:val="none" w:sz="0" w:space="0" w:color="auto"/>
                        <w:bottom w:val="none" w:sz="0" w:space="0" w:color="auto"/>
                        <w:right w:val="none" w:sz="0" w:space="0" w:color="auto"/>
                      </w:divBdr>
                      <w:divsChild>
                        <w:div w:id="2087341640">
                          <w:marLeft w:val="0"/>
                          <w:marRight w:val="0"/>
                          <w:marTop w:val="0"/>
                          <w:marBottom w:val="0"/>
                          <w:divBdr>
                            <w:top w:val="none" w:sz="0" w:space="0" w:color="auto"/>
                            <w:left w:val="none" w:sz="0" w:space="0" w:color="auto"/>
                            <w:bottom w:val="none" w:sz="0" w:space="0" w:color="auto"/>
                            <w:right w:val="none" w:sz="0" w:space="0" w:color="auto"/>
                          </w:divBdr>
                          <w:divsChild>
                            <w:div w:id="175117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B618-051C-47DA-934B-CCED2445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PHARMACY NEWSLETTER</vt:lpstr>
    </vt:vector>
  </TitlesOfParts>
  <Company>Toshiba</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NEWSLETTER</dc:title>
  <dc:creator>slponfire</dc:creator>
  <cp:lastModifiedBy>Jeffrey F Tsai</cp:lastModifiedBy>
  <cp:revision>16</cp:revision>
  <cp:lastPrinted>2018-01-16T16:05:00Z</cp:lastPrinted>
  <dcterms:created xsi:type="dcterms:W3CDTF">2018-01-16T16:09:00Z</dcterms:created>
  <dcterms:modified xsi:type="dcterms:W3CDTF">2018-01-16T20:41:00Z</dcterms:modified>
</cp:coreProperties>
</file>